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黑体" w:eastAsia="黑体"/>
          <w:b/>
          <w:spacing w:val="2"/>
          <w:w w:val="95"/>
          <w:kern w:val="0"/>
          <w:sz w:val="48"/>
          <w:szCs w:val="48"/>
        </w:rPr>
      </w:pPr>
    </w:p>
    <w:p>
      <w:pPr>
        <w:widowControl/>
        <w:shd w:val="clear" w:color="auto" w:fill="FFFFFF"/>
        <w:spacing w:line="400" w:lineRule="exact"/>
        <w:ind w:firstLine="480"/>
        <w:jc w:val="center"/>
        <w:rPr>
          <w:rFonts w:ascii="黑体" w:eastAsia="黑体"/>
          <w:b/>
          <w:spacing w:val="2"/>
          <w:w w:val="95"/>
          <w:kern w:val="0"/>
          <w:sz w:val="48"/>
          <w:szCs w:val="48"/>
        </w:rPr>
      </w:pPr>
      <w:r>
        <w:rPr>
          <w:rFonts w:hint="eastAsia" w:ascii="华文中宋" w:hAnsi="华文中宋" w:eastAsia="华文中宋" w:cs="宋体"/>
          <w:color w:val="000000"/>
          <w:kern w:val="0"/>
          <w:sz w:val="72"/>
          <w:szCs w:val="72"/>
        </w:rPr>
        <w:drawing>
          <wp:anchor distT="0" distB="0" distL="114300" distR="114300" simplePos="0" relativeHeight="251660288" behindDoc="1" locked="0" layoutInCell="1" allowOverlap="0">
            <wp:simplePos x="0" y="0"/>
            <wp:positionH relativeFrom="column">
              <wp:posOffset>865505</wp:posOffset>
            </wp:positionH>
            <wp:positionV relativeFrom="margin">
              <wp:posOffset>557530</wp:posOffset>
            </wp:positionV>
            <wp:extent cx="3600450" cy="419100"/>
            <wp:effectExtent l="0" t="0" r="0" b="0"/>
            <wp:wrapTopAndBottom/>
            <wp:docPr id="2" name="图片 2" descr="上海工程技术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海工程技术大学"/>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00450" cy="419100"/>
                    </a:xfrm>
                    <a:prstGeom prst="rect">
                      <a:avLst/>
                    </a:prstGeom>
                    <a:noFill/>
                    <a:ln>
                      <a:noFill/>
                    </a:ln>
                  </pic:spPr>
                </pic:pic>
              </a:graphicData>
            </a:graphic>
          </wp:anchor>
        </w:drawing>
      </w:r>
    </w:p>
    <w:p>
      <w:pPr>
        <w:widowControl/>
        <w:shd w:val="clear" w:color="auto" w:fill="FFFFFF"/>
        <w:spacing w:line="400" w:lineRule="exact"/>
        <w:ind w:firstLine="480"/>
        <w:jc w:val="center"/>
        <w:rPr>
          <w:rFonts w:ascii="黑体" w:eastAsia="黑体"/>
          <w:b/>
          <w:spacing w:val="2"/>
          <w:w w:val="95"/>
          <w:kern w:val="0"/>
          <w:sz w:val="48"/>
          <w:szCs w:val="48"/>
        </w:rPr>
      </w:pPr>
    </w:p>
    <w:p>
      <w:pPr>
        <w:widowControl/>
        <w:shd w:val="clear" w:color="auto" w:fill="FFFFFF"/>
        <w:ind w:firstLine="482"/>
        <w:jc w:val="center"/>
        <w:rPr>
          <w:rFonts w:ascii="黑体" w:eastAsia="黑体"/>
          <w:b/>
          <w:spacing w:val="2"/>
          <w:w w:val="95"/>
          <w:kern w:val="0"/>
          <w:sz w:val="48"/>
          <w:szCs w:val="48"/>
        </w:rPr>
      </w:pPr>
      <w:r>
        <w:rPr>
          <w:rFonts w:hint="eastAsia" w:ascii="黑体" w:eastAsia="黑体"/>
          <w:b/>
          <w:spacing w:val="2"/>
          <w:w w:val="95"/>
          <w:kern w:val="0"/>
          <w:sz w:val="48"/>
          <w:szCs w:val="48"/>
        </w:rPr>
        <w:t>飞行技术专业</w:t>
      </w:r>
    </w:p>
    <w:p>
      <w:pPr>
        <w:widowControl/>
        <w:shd w:val="clear" w:color="auto" w:fill="FFFFFF"/>
        <w:ind w:firstLine="482"/>
        <w:jc w:val="center"/>
        <w:rPr>
          <w:rFonts w:ascii="Times New Roman" w:hAnsi="Times New Roman" w:eastAsia="华文中宋"/>
          <w:color w:val="000000"/>
          <w:kern w:val="0"/>
          <w:sz w:val="44"/>
          <w:szCs w:val="44"/>
        </w:rPr>
      </w:pPr>
      <w:r>
        <w:rPr>
          <w:rFonts w:hint="eastAsia" w:ascii="黑体" w:eastAsia="黑体"/>
          <w:b/>
          <w:spacing w:val="2"/>
          <w:w w:val="95"/>
          <w:kern w:val="0"/>
          <w:sz w:val="48"/>
          <w:szCs w:val="48"/>
        </w:rPr>
        <w:t>202</w:t>
      </w:r>
      <w:r>
        <w:rPr>
          <w:rFonts w:hint="eastAsia" w:ascii="黑体" w:eastAsia="黑体"/>
          <w:b/>
          <w:spacing w:val="2"/>
          <w:w w:val="95"/>
          <w:kern w:val="0"/>
          <w:sz w:val="48"/>
          <w:szCs w:val="48"/>
          <w:lang w:val="en-US" w:eastAsia="zh-CN"/>
        </w:rPr>
        <w:t>2</w:t>
      </w:r>
      <w:r>
        <w:rPr>
          <w:rFonts w:hint="eastAsia" w:ascii="黑体" w:eastAsia="黑体"/>
          <w:b/>
          <w:spacing w:val="2"/>
          <w:w w:val="95"/>
          <w:kern w:val="0"/>
          <w:sz w:val="48"/>
          <w:szCs w:val="48"/>
        </w:rPr>
        <w:t>-202</w:t>
      </w:r>
      <w:r>
        <w:rPr>
          <w:rFonts w:hint="eastAsia" w:ascii="黑体" w:eastAsia="黑体"/>
          <w:b/>
          <w:spacing w:val="2"/>
          <w:w w:val="95"/>
          <w:kern w:val="0"/>
          <w:sz w:val="48"/>
          <w:szCs w:val="48"/>
          <w:lang w:val="en-US" w:eastAsia="zh-CN"/>
        </w:rPr>
        <w:t>3</w:t>
      </w:r>
      <w:r>
        <w:rPr>
          <w:rFonts w:hint="eastAsia" w:ascii="黑体" w:eastAsia="黑体"/>
          <w:b/>
          <w:spacing w:val="2"/>
          <w:w w:val="95"/>
          <w:kern w:val="0"/>
          <w:sz w:val="48"/>
          <w:szCs w:val="48"/>
        </w:rPr>
        <w:t>学年本科</w:t>
      </w:r>
      <w:bookmarkStart w:id="23" w:name="_GoBack"/>
      <w:bookmarkEnd w:id="23"/>
      <w:r>
        <w:rPr>
          <w:rFonts w:hint="eastAsia" w:ascii="黑体" w:eastAsia="黑体"/>
          <w:b/>
          <w:spacing w:val="2"/>
          <w:w w:val="95"/>
          <w:kern w:val="0"/>
          <w:sz w:val="48"/>
          <w:szCs w:val="48"/>
        </w:rPr>
        <w:t>教学质量报</w:t>
      </w:r>
      <w:r>
        <w:rPr>
          <w:rFonts w:hint="eastAsia" w:ascii="黑体" w:eastAsia="黑体"/>
          <w:b/>
          <w:spacing w:val="-3"/>
          <w:w w:val="95"/>
          <w:kern w:val="0"/>
          <w:sz w:val="48"/>
          <w:szCs w:val="48"/>
        </w:rPr>
        <w:t>告</w:t>
      </w:r>
    </w:p>
    <w:p>
      <w:pPr>
        <w:widowControl/>
        <w:shd w:val="clear" w:color="auto" w:fill="FFFFFF"/>
        <w:ind w:firstLine="482"/>
        <w:jc w:val="center"/>
        <w:rPr>
          <w:rFonts w:ascii="黑体" w:eastAsia="黑体"/>
          <w:b/>
          <w:spacing w:val="2"/>
          <w:w w:val="95"/>
          <w:kern w:val="0"/>
          <w:sz w:val="36"/>
          <w:szCs w:val="36"/>
        </w:rPr>
      </w:pPr>
    </w:p>
    <w:p>
      <w:pPr>
        <w:widowControl/>
        <w:shd w:val="clear" w:color="auto" w:fill="FFFFFF"/>
        <w:ind w:firstLine="482"/>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r>
        <w:rPr>
          <w:rFonts w:hint="eastAsia" w:ascii="微软雅黑" w:hAnsi="微软雅黑" w:eastAsia="微软雅黑" w:cs="宋体"/>
          <w:color w:val="333333"/>
          <w:kern w:val="0"/>
          <w:sz w:val="15"/>
          <w:szCs w:val="15"/>
        </w:rPr>
        <w:drawing>
          <wp:anchor distT="0" distB="0" distL="0" distR="0" simplePos="0" relativeHeight="251661312" behindDoc="0" locked="0" layoutInCell="1" allowOverlap="1">
            <wp:simplePos x="0" y="0"/>
            <wp:positionH relativeFrom="page">
              <wp:posOffset>3070225</wp:posOffset>
            </wp:positionH>
            <wp:positionV relativeFrom="page">
              <wp:posOffset>3826510</wp:posOffset>
            </wp:positionV>
            <wp:extent cx="1800225" cy="1800225"/>
            <wp:effectExtent l="0" t="0" r="9525" b="9525"/>
            <wp:wrapNone/>
            <wp:docPr id="1" name="图片 1" descr="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800225" cy="1800225"/>
                    </a:xfrm>
                    <a:prstGeom prst="rect">
                      <a:avLst/>
                    </a:prstGeom>
                    <a:noFill/>
                    <a:ln>
                      <a:noFill/>
                    </a:ln>
                  </pic:spPr>
                </pic:pic>
              </a:graphicData>
            </a:graphic>
          </wp:anchor>
        </w:drawing>
      </w: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p>
    <w:tbl>
      <w:tblPr>
        <w:tblStyle w:val="10"/>
        <w:tblW w:w="0" w:type="auto"/>
        <w:jc w:val="center"/>
        <w:tblLayout w:type="fixed"/>
        <w:tblCellMar>
          <w:top w:w="0" w:type="dxa"/>
          <w:left w:w="0" w:type="dxa"/>
          <w:bottom w:w="0" w:type="dxa"/>
          <w:right w:w="0" w:type="dxa"/>
        </w:tblCellMar>
      </w:tblPr>
      <w:tblGrid>
        <w:gridCol w:w="6880"/>
      </w:tblGrid>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widowControl/>
              <w:spacing w:line="400" w:lineRule="exact"/>
              <w:ind w:firstLine="900" w:firstLineChars="300"/>
              <w:rPr>
                <w:rFonts w:ascii="微软雅黑" w:hAnsi="微软雅黑" w:eastAsia="微软雅黑" w:cs="宋体"/>
                <w:color w:val="333333"/>
                <w:kern w:val="0"/>
                <w:sz w:val="15"/>
                <w:szCs w:val="15"/>
              </w:rPr>
            </w:pPr>
            <w:r>
              <w:rPr>
                <w:rFonts w:hint="eastAsia" w:ascii="楷体" w:hAnsi="楷体" w:eastAsia="楷体" w:cs="宋体"/>
                <w:color w:val="000000"/>
                <w:kern w:val="0"/>
                <w:sz w:val="30"/>
                <w:szCs w:val="30"/>
              </w:rPr>
              <w:t>专业代码：</w:t>
            </w:r>
            <w:r>
              <w:rPr>
                <w:rFonts w:hint="eastAsia" w:ascii="宋体" w:hAnsi="宋体" w:cs="宋体"/>
                <w:color w:val="000000"/>
                <w:kern w:val="0"/>
                <w:sz w:val="30"/>
                <w:szCs w:val="30"/>
                <w:u w:val="single"/>
              </w:rPr>
              <w:t xml:space="preserve"> </w:t>
            </w:r>
            <w:r>
              <w:rPr>
                <w:rFonts w:ascii="宋体" w:hAnsi="宋体" w:cs="宋体"/>
                <w:color w:val="000000"/>
                <w:kern w:val="0"/>
                <w:sz w:val="30"/>
                <w:szCs w:val="30"/>
                <w:u w:val="single"/>
              </w:rPr>
              <w:t xml:space="preserve">      081805K       </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widowControl/>
              <w:spacing w:line="400" w:lineRule="exact"/>
              <w:ind w:firstLine="900"/>
              <w:jc w:val="left"/>
              <w:rPr>
                <w:rFonts w:ascii="微软雅黑" w:hAnsi="微软雅黑" w:eastAsia="微软雅黑" w:cs="宋体"/>
                <w:color w:val="333333"/>
                <w:kern w:val="0"/>
                <w:sz w:val="15"/>
                <w:szCs w:val="15"/>
              </w:rPr>
            </w:pPr>
            <w:r>
              <w:rPr>
                <w:rFonts w:hint="eastAsia" w:ascii="楷体" w:hAnsi="楷体" w:eastAsia="楷体" w:cs="宋体"/>
                <w:color w:val="000000"/>
                <w:kern w:val="0"/>
                <w:sz w:val="30"/>
                <w:szCs w:val="30"/>
              </w:rPr>
              <w:t>专业负责人：</w:t>
            </w:r>
            <w:r>
              <w:rPr>
                <w:rFonts w:hint="eastAsia" w:ascii="微软雅黑" w:hAnsi="微软雅黑" w:eastAsia="微软雅黑" w:cs="宋体"/>
                <w:color w:val="000000"/>
                <w:kern w:val="0"/>
                <w:sz w:val="30"/>
                <w:szCs w:val="30"/>
                <w:u w:val="single"/>
              </w:rPr>
              <w:t>      </w:t>
            </w:r>
            <w:r>
              <w:rPr>
                <w:rFonts w:ascii="微软雅黑" w:hAnsi="微软雅黑" w:eastAsia="微软雅黑" w:cs="宋体"/>
                <w:color w:val="000000"/>
                <w:kern w:val="0"/>
                <w:sz w:val="30"/>
                <w:szCs w:val="30"/>
                <w:u w:val="single"/>
              </w:rPr>
              <w:t xml:space="preserve">       </w:t>
            </w:r>
            <w:r>
              <w:rPr>
                <w:rFonts w:hint="eastAsia" w:ascii="微软雅黑" w:hAnsi="微软雅黑" w:eastAsia="微软雅黑" w:cs="宋体"/>
                <w:color w:val="000000"/>
                <w:kern w:val="0"/>
                <w:sz w:val="30"/>
                <w:szCs w:val="30"/>
                <w:u w:val="single"/>
              </w:rPr>
              <w:t> （签字）</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widowControl/>
              <w:spacing w:line="400" w:lineRule="exact"/>
              <w:ind w:firstLine="900"/>
              <w:jc w:val="left"/>
              <w:rPr>
                <w:rFonts w:ascii="微软雅黑" w:hAnsi="微软雅黑" w:eastAsia="微软雅黑" w:cs="宋体"/>
                <w:color w:val="333333"/>
                <w:kern w:val="0"/>
                <w:sz w:val="15"/>
                <w:szCs w:val="15"/>
              </w:rPr>
            </w:pPr>
            <w:r>
              <w:rPr>
                <w:rFonts w:hint="eastAsia" w:ascii="楷体" w:hAnsi="楷体" w:eastAsia="楷体" w:cs="宋体"/>
                <w:color w:val="000000"/>
                <w:kern w:val="0"/>
                <w:sz w:val="30"/>
                <w:szCs w:val="30"/>
              </w:rPr>
              <w:t>教学院长：</w:t>
            </w:r>
            <w:r>
              <w:rPr>
                <w:rFonts w:hint="eastAsia" w:ascii="微软雅黑" w:hAnsi="微软雅黑" w:eastAsia="微软雅黑" w:cs="宋体"/>
                <w:color w:val="000000"/>
                <w:kern w:val="0"/>
                <w:sz w:val="30"/>
                <w:szCs w:val="30"/>
                <w:u w:val="single"/>
              </w:rPr>
              <w:t>                  （签字）</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widowControl/>
              <w:spacing w:line="400" w:lineRule="exact"/>
              <w:ind w:firstLine="900"/>
              <w:jc w:val="left"/>
              <w:rPr>
                <w:rFonts w:ascii="微软雅黑" w:hAnsi="微软雅黑" w:eastAsia="微软雅黑" w:cs="宋体"/>
                <w:color w:val="333333"/>
                <w:kern w:val="0"/>
                <w:sz w:val="15"/>
                <w:szCs w:val="15"/>
              </w:rPr>
            </w:pPr>
            <w:r>
              <w:rPr>
                <w:rFonts w:hint="eastAsia" w:ascii="楷体" w:hAnsi="楷体" w:eastAsia="楷体" w:cs="宋体"/>
                <w:color w:val="000000"/>
                <w:kern w:val="0"/>
                <w:sz w:val="30"/>
                <w:szCs w:val="30"/>
              </w:rPr>
              <w:t>学院院长：</w:t>
            </w:r>
            <w:r>
              <w:rPr>
                <w:rFonts w:hint="eastAsia" w:ascii="微软雅黑" w:hAnsi="微软雅黑" w:eastAsia="微软雅黑" w:cs="宋体"/>
                <w:color w:val="000000"/>
                <w:kern w:val="0"/>
                <w:sz w:val="30"/>
                <w:szCs w:val="30"/>
                <w:u w:val="single"/>
              </w:rPr>
              <w:t>                  （签字）</w:t>
            </w:r>
          </w:p>
        </w:tc>
      </w:tr>
      <w:tr>
        <w:tblPrEx>
          <w:tblCellMar>
            <w:top w:w="0" w:type="dxa"/>
            <w:left w:w="0" w:type="dxa"/>
            <w:bottom w:w="0" w:type="dxa"/>
            <w:right w:w="0" w:type="dxa"/>
          </w:tblCellMar>
        </w:tblPrEx>
        <w:trPr>
          <w:trHeight w:val="481"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widowControl/>
              <w:spacing w:line="400" w:lineRule="exact"/>
              <w:ind w:firstLine="900"/>
              <w:jc w:val="left"/>
              <w:rPr>
                <w:rFonts w:ascii="微软雅黑" w:hAnsi="微软雅黑" w:eastAsia="微软雅黑" w:cs="宋体"/>
                <w:color w:val="333333"/>
                <w:kern w:val="0"/>
                <w:sz w:val="15"/>
                <w:szCs w:val="15"/>
              </w:rPr>
            </w:pPr>
            <w:r>
              <w:rPr>
                <w:rFonts w:hint="eastAsia" w:ascii="楷体" w:hAnsi="楷体" w:eastAsia="楷体" w:cs="宋体"/>
                <w:color w:val="000000"/>
                <w:kern w:val="0"/>
                <w:sz w:val="30"/>
                <w:szCs w:val="30"/>
              </w:rPr>
              <w:t>学院名称：</w:t>
            </w:r>
            <w:r>
              <w:rPr>
                <w:rFonts w:hint="eastAsia" w:ascii="微软雅黑" w:hAnsi="微软雅黑" w:eastAsia="微软雅黑" w:cs="宋体"/>
                <w:color w:val="000000"/>
                <w:kern w:val="0"/>
                <w:sz w:val="30"/>
                <w:szCs w:val="30"/>
                <w:u w:val="single"/>
              </w:rPr>
              <w:t>                  （盖章）</w:t>
            </w:r>
          </w:p>
        </w:tc>
      </w:tr>
    </w:tbl>
    <w:p>
      <w:pPr>
        <w:widowControl/>
        <w:shd w:val="clear" w:color="auto" w:fill="FFFFFF"/>
        <w:spacing w:line="400" w:lineRule="exact"/>
        <w:ind w:firstLine="480"/>
        <w:jc w:val="center"/>
        <w:rPr>
          <w:rFonts w:ascii="微软雅黑" w:hAnsi="微软雅黑" w:eastAsia="微软雅黑" w:cs="宋体"/>
          <w:color w:val="333333"/>
          <w:kern w:val="0"/>
          <w:sz w:val="15"/>
          <w:szCs w:val="15"/>
        </w:rPr>
      </w:pPr>
      <w:r>
        <w:rPr>
          <w:rFonts w:hint="eastAsia" w:ascii="微软雅黑" w:hAnsi="微软雅黑" w:eastAsia="微软雅黑" w:cs="宋体"/>
          <w:b/>
          <w:bCs/>
          <w:color w:val="000000"/>
          <w:kern w:val="0"/>
          <w:sz w:val="36"/>
          <w:szCs w:val="36"/>
        </w:rPr>
        <w:t> </w:t>
      </w:r>
    </w:p>
    <w:p>
      <w:pPr>
        <w:widowControl/>
        <w:shd w:val="clear" w:color="auto" w:fill="FFFFFF"/>
        <w:spacing w:line="400" w:lineRule="exact"/>
        <w:ind w:firstLine="480"/>
        <w:jc w:val="center"/>
        <w:rPr>
          <w:rFonts w:ascii="华文中宋" w:hAnsi="华文中宋" w:eastAsia="华文中宋" w:cs="宋体"/>
          <w:b/>
          <w:bCs/>
          <w:color w:val="000000"/>
          <w:kern w:val="0"/>
          <w:sz w:val="36"/>
          <w:szCs w:val="36"/>
        </w:rPr>
      </w:pPr>
    </w:p>
    <w:p>
      <w:pPr>
        <w:widowControl/>
        <w:shd w:val="clear" w:color="auto" w:fill="FFFFFF"/>
        <w:spacing w:line="400" w:lineRule="exact"/>
        <w:ind w:firstLine="480"/>
        <w:jc w:val="center"/>
        <w:rPr>
          <w:rFonts w:ascii="华文中宋" w:hAnsi="华文中宋" w:eastAsia="华文中宋" w:cs="宋体"/>
          <w:b/>
          <w:bCs/>
          <w:color w:val="000000"/>
          <w:kern w:val="0"/>
          <w:sz w:val="36"/>
          <w:szCs w:val="36"/>
        </w:rPr>
      </w:pPr>
    </w:p>
    <w:p>
      <w:pPr>
        <w:widowControl/>
        <w:shd w:val="clear" w:color="auto" w:fill="FFFFFF"/>
        <w:spacing w:line="400" w:lineRule="exact"/>
        <w:ind w:firstLine="480"/>
        <w:jc w:val="center"/>
        <w:rPr>
          <w:rFonts w:ascii="微软雅黑" w:hAnsi="微软雅黑" w:eastAsia="微软雅黑" w:cs="宋体"/>
          <w:color w:val="333333"/>
          <w:kern w:val="0"/>
          <w:sz w:val="15"/>
          <w:szCs w:val="15"/>
        </w:rPr>
      </w:pPr>
      <w:r>
        <w:rPr>
          <w:rFonts w:hint="eastAsia" w:ascii="华文中宋" w:hAnsi="华文中宋" w:eastAsia="华文中宋" w:cs="宋体"/>
          <w:b/>
          <w:bCs/>
          <w:color w:val="000000"/>
          <w:kern w:val="0"/>
          <w:sz w:val="36"/>
          <w:szCs w:val="36"/>
        </w:rPr>
        <w:t>二〇二</w:t>
      </w:r>
      <w:r>
        <w:rPr>
          <w:rFonts w:hint="eastAsia" w:ascii="华文中宋" w:hAnsi="华文中宋" w:eastAsia="华文中宋" w:cs="宋体"/>
          <w:b/>
          <w:bCs/>
          <w:color w:val="000000"/>
          <w:kern w:val="0"/>
          <w:sz w:val="36"/>
          <w:szCs w:val="36"/>
          <w:lang w:eastAsia="zh-Hans"/>
        </w:rPr>
        <w:t>三</w:t>
      </w:r>
      <w:r>
        <w:rPr>
          <w:rFonts w:hint="eastAsia" w:ascii="华文中宋" w:hAnsi="华文中宋" w:eastAsia="华文中宋" w:cs="宋体"/>
          <w:b/>
          <w:bCs/>
          <w:color w:val="000000"/>
          <w:kern w:val="0"/>
          <w:sz w:val="36"/>
          <w:szCs w:val="36"/>
        </w:rPr>
        <w:t>年二月</w:t>
      </w:r>
    </w:p>
    <w:p>
      <w:pPr>
        <w:widowControl/>
        <w:shd w:val="clear" w:color="auto" w:fill="FFFFFF"/>
        <w:spacing w:line="400" w:lineRule="exact"/>
        <w:jc w:val="center"/>
        <w:rPr>
          <w:rFonts w:ascii="宋体" w:hAnsi="宋体" w:cs="宋体"/>
          <w:b/>
          <w:bCs/>
          <w:color w:val="333333"/>
          <w:kern w:val="0"/>
          <w:sz w:val="24"/>
          <w:szCs w:val="24"/>
        </w:rPr>
      </w:pPr>
      <w:r>
        <w:rPr>
          <w:rFonts w:ascii="宋体" w:hAnsi="宋体" w:cs="宋体"/>
          <w:b/>
          <w:bCs/>
          <w:color w:val="333333"/>
          <w:kern w:val="0"/>
          <w:sz w:val="24"/>
          <w:szCs w:val="24"/>
        </w:rPr>
        <w:br w:type="page"/>
      </w:r>
    </w:p>
    <w:p>
      <w:pPr>
        <w:widowControl/>
        <w:shd w:val="clear" w:color="auto" w:fill="FFFFFF"/>
        <w:spacing w:line="400" w:lineRule="exact"/>
        <w:jc w:val="left"/>
        <w:rPr>
          <w:rFonts w:ascii="黑体" w:hAnsi="黑体" w:eastAsia="黑体" w:cs="黑体"/>
          <w:color w:val="333333"/>
          <w:kern w:val="0"/>
          <w:sz w:val="40"/>
          <w:szCs w:val="40"/>
        </w:rPr>
      </w:pPr>
    </w:p>
    <w:sdt>
      <w:sdtPr>
        <w:rPr>
          <w:rFonts w:hint="eastAsia" w:ascii="黑体" w:hAnsi="黑体" w:eastAsia="黑体" w:cs="黑体"/>
          <w:b/>
          <w:bCs/>
          <w:sz w:val="32"/>
          <w:szCs w:val="36"/>
        </w:rPr>
        <w:id w:val="147466997"/>
        <w15:color w:val="DBDBDB"/>
        <w:docPartObj>
          <w:docPartGallery w:val="Table of Contents"/>
          <w:docPartUnique/>
        </w:docPartObj>
      </w:sdtPr>
      <w:sdtEndPr>
        <w:rPr>
          <w:rFonts w:hint="eastAsia" w:ascii="宋体" w:hAnsi="宋体" w:eastAsia="宋体" w:cs="宋体"/>
          <w:b/>
          <w:bCs/>
          <w:color w:val="333333"/>
          <w:kern w:val="0"/>
          <w:sz w:val="21"/>
          <w:szCs w:val="24"/>
        </w:rPr>
      </w:sdtEndPr>
      <w:sdtContent>
        <w:p>
          <w:pPr>
            <w:spacing w:line="360" w:lineRule="auto"/>
            <w:jc w:val="center"/>
            <w:rPr>
              <w:rFonts w:ascii="黑体" w:hAnsi="黑体" w:eastAsia="黑体" w:cs="黑体"/>
              <w:b/>
              <w:bCs/>
              <w:sz w:val="32"/>
              <w:szCs w:val="32"/>
            </w:rPr>
          </w:pPr>
          <w:r>
            <w:rPr>
              <w:rFonts w:hint="eastAsia" w:ascii="黑体" w:hAnsi="黑体" w:eastAsia="黑体" w:cs="黑体"/>
              <w:b/>
              <w:bCs/>
              <w:sz w:val="32"/>
              <w:szCs w:val="32"/>
            </w:rPr>
            <w:t>目 录</w:t>
          </w:r>
        </w:p>
        <w:p>
          <w:pPr>
            <w:pStyle w:val="16"/>
            <w:tabs>
              <w:tab w:val="right" w:leader="dot" w:pos="8306"/>
            </w:tabs>
            <w:spacing w:line="360" w:lineRule="auto"/>
            <w:rPr>
              <w:rFonts w:ascii="黑体" w:hAnsi="黑体" w:eastAsia="黑体" w:cs="黑体"/>
              <w:b/>
              <w:sz w:val="21"/>
              <w:szCs w:val="21"/>
            </w:rPr>
          </w:pPr>
          <w:r>
            <w:rPr>
              <w:rFonts w:hint="eastAsia" w:ascii="黑体" w:hAnsi="黑体" w:eastAsia="黑体" w:cs="黑体"/>
              <w:b/>
              <w:bCs/>
              <w:color w:val="333333"/>
              <w:sz w:val="21"/>
              <w:szCs w:val="21"/>
            </w:rPr>
            <w:fldChar w:fldCharType="begin"/>
          </w:r>
          <w:r>
            <w:rPr>
              <w:rFonts w:hint="eastAsia" w:ascii="黑体" w:hAnsi="黑体" w:eastAsia="黑体" w:cs="黑体"/>
              <w:b/>
              <w:bCs/>
              <w:color w:val="333333"/>
              <w:sz w:val="21"/>
              <w:szCs w:val="21"/>
            </w:rPr>
            <w:instrText xml:space="preserve">TOC \o "1-2" \h \u </w:instrText>
          </w:r>
          <w:r>
            <w:rPr>
              <w:rFonts w:hint="eastAsia" w:ascii="黑体" w:hAnsi="黑体" w:eastAsia="黑体" w:cs="黑体"/>
              <w:b/>
              <w:bCs/>
              <w:color w:val="333333"/>
              <w:sz w:val="21"/>
              <w:szCs w:val="21"/>
            </w:rPr>
            <w:fldChar w:fldCharType="separate"/>
          </w:r>
          <w:r>
            <w:fldChar w:fldCharType="begin"/>
          </w:r>
          <w:r>
            <w:instrText xml:space="preserve"> HYPERLINK \l "_Toc28013" </w:instrText>
          </w:r>
          <w:r>
            <w:fldChar w:fldCharType="separate"/>
          </w:r>
          <w:r>
            <w:rPr>
              <w:rFonts w:hint="eastAsia" w:ascii="黑体" w:hAnsi="黑体" w:eastAsia="黑体" w:cs="黑体"/>
              <w:b/>
              <w:sz w:val="21"/>
              <w:szCs w:val="21"/>
            </w:rPr>
            <w:t>一、专业基本概况</w:t>
          </w:r>
          <w:r>
            <w:rPr>
              <w:rFonts w:hint="eastAsia" w:ascii="黑体" w:hAnsi="黑体" w:eastAsia="黑体" w:cs="黑体"/>
              <w:b/>
              <w:sz w:val="21"/>
              <w:szCs w:val="21"/>
            </w:rPr>
            <w:tab/>
          </w:r>
          <w:r>
            <w:rPr>
              <w:rFonts w:hint="eastAsia" w:ascii="黑体" w:hAnsi="黑体" w:eastAsia="黑体" w:cs="黑体"/>
              <w:b/>
              <w:sz w:val="21"/>
              <w:szCs w:val="21"/>
            </w:rPr>
            <w:fldChar w:fldCharType="begin"/>
          </w:r>
          <w:r>
            <w:rPr>
              <w:rFonts w:hint="eastAsia" w:ascii="黑体" w:hAnsi="黑体" w:eastAsia="黑体" w:cs="黑体"/>
              <w:b/>
              <w:sz w:val="21"/>
              <w:szCs w:val="21"/>
            </w:rPr>
            <w:instrText xml:space="preserve"> PAGEREF _Toc28013 \h </w:instrText>
          </w:r>
          <w:r>
            <w:rPr>
              <w:rFonts w:hint="eastAsia" w:ascii="黑体" w:hAnsi="黑体" w:eastAsia="黑体" w:cs="黑体"/>
              <w:b/>
              <w:sz w:val="21"/>
              <w:szCs w:val="21"/>
            </w:rPr>
            <w:fldChar w:fldCharType="separate"/>
          </w:r>
          <w:r>
            <w:rPr>
              <w:rFonts w:ascii="黑体" w:hAnsi="黑体" w:eastAsia="黑体" w:cs="黑体"/>
              <w:b/>
              <w:sz w:val="21"/>
              <w:szCs w:val="21"/>
            </w:rPr>
            <w:t>1</w:t>
          </w:r>
          <w:r>
            <w:rPr>
              <w:rFonts w:hint="eastAsia" w:ascii="黑体" w:hAnsi="黑体" w:eastAsia="黑体" w:cs="黑体"/>
              <w:b/>
              <w:sz w:val="21"/>
              <w:szCs w:val="21"/>
            </w:rPr>
            <w:fldChar w:fldCharType="end"/>
          </w:r>
          <w:r>
            <w:rPr>
              <w:rFonts w:hint="eastAsia" w:ascii="黑体" w:hAnsi="黑体" w:eastAsia="黑体" w:cs="黑体"/>
              <w:b/>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"_Toc7600" </w:instrText>
          </w:r>
          <w:r>
            <w:fldChar w:fldCharType="separate"/>
          </w:r>
          <w:r>
            <w:rPr>
              <w:rFonts w:hint="eastAsia" w:ascii="黑体" w:hAnsi="黑体" w:eastAsia="黑体" w:cs="黑体"/>
              <w:sz w:val="21"/>
              <w:szCs w:val="21"/>
            </w:rPr>
            <w:t>（一）专业概况</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_Toc7600 \h </w:instrText>
          </w:r>
          <w:r>
            <w:rPr>
              <w:rFonts w:hint="eastAsia" w:ascii="黑体" w:hAnsi="黑体" w:eastAsia="黑体" w:cs="黑体"/>
              <w:sz w:val="21"/>
              <w:szCs w:val="21"/>
            </w:rPr>
            <w:fldChar w:fldCharType="separate"/>
          </w:r>
          <w:r>
            <w:rPr>
              <w:rFonts w:ascii="黑体" w:hAnsi="黑体" w:eastAsia="黑体" w:cs="黑体"/>
              <w:sz w:val="21"/>
              <w:szCs w:val="21"/>
            </w:rPr>
            <w:t>1</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"_Toc32262" </w:instrText>
          </w:r>
          <w:r>
            <w:fldChar w:fldCharType="separate"/>
          </w:r>
          <w:r>
            <w:rPr>
              <w:rFonts w:hint="eastAsia" w:ascii="黑体" w:hAnsi="黑体" w:eastAsia="黑体" w:cs="黑体"/>
              <w:sz w:val="21"/>
              <w:szCs w:val="21"/>
            </w:rPr>
            <w:t>（二）专业定位和人才培养目标</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_Toc32262 \h </w:instrText>
          </w:r>
          <w:r>
            <w:rPr>
              <w:rFonts w:hint="eastAsia" w:ascii="黑体" w:hAnsi="黑体" w:eastAsia="黑体" w:cs="黑体"/>
              <w:sz w:val="21"/>
              <w:szCs w:val="21"/>
            </w:rPr>
            <w:fldChar w:fldCharType="separate"/>
          </w:r>
          <w:r>
            <w:rPr>
              <w:rFonts w:ascii="黑体" w:hAnsi="黑体" w:eastAsia="黑体" w:cs="黑体"/>
              <w:sz w:val="21"/>
              <w:szCs w:val="21"/>
            </w:rPr>
            <w:t>2</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6"/>
            <w:tabs>
              <w:tab w:val="right" w:leader="dot" w:pos="8306"/>
            </w:tabs>
            <w:spacing w:line="360" w:lineRule="auto"/>
            <w:rPr>
              <w:rFonts w:ascii="黑体" w:hAnsi="黑体" w:eastAsia="黑体" w:cs="黑体"/>
              <w:b/>
              <w:sz w:val="21"/>
              <w:szCs w:val="21"/>
            </w:rPr>
          </w:pPr>
          <w:r>
            <w:fldChar w:fldCharType="begin"/>
          </w:r>
          <w:r>
            <w:instrText xml:space="preserve"> HYPERLINK \l "_Toc3098" </w:instrText>
          </w:r>
          <w:r>
            <w:fldChar w:fldCharType="separate"/>
          </w:r>
          <w:r>
            <w:rPr>
              <w:rFonts w:hint="eastAsia" w:ascii="黑体" w:hAnsi="黑体" w:eastAsia="黑体" w:cs="黑体"/>
              <w:b/>
              <w:sz w:val="21"/>
              <w:szCs w:val="21"/>
            </w:rPr>
            <w:t>二、专业师资与教学条件</w:t>
          </w:r>
          <w:r>
            <w:rPr>
              <w:rFonts w:hint="eastAsia" w:ascii="黑体" w:hAnsi="黑体" w:eastAsia="黑体" w:cs="黑体"/>
              <w:b/>
              <w:sz w:val="21"/>
              <w:szCs w:val="21"/>
            </w:rPr>
            <w:tab/>
          </w:r>
          <w:r>
            <w:rPr>
              <w:rFonts w:hint="eastAsia" w:ascii="黑体" w:hAnsi="黑体" w:eastAsia="黑体" w:cs="黑体"/>
              <w:b/>
              <w:sz w:val="21"/>
              <w:szCs w:val="21"/>
            </w:rPr>
            <w:fldChar w:fldCharType="begin"/>
          </w:r>
          <w:r>
            <w:rPr>
              <w:rFonts w:hint="eastAsia" w:ascii="黑体" w:hAnsi="黑体" w:eastAsia="黑体" w:cs="黑体"/>
              <w:b/>
              <w:sz w:val="21"/>
              <w:szCs w:val="21"/>
            </w:rPr>
            <w:instrText xml:space="preserve"> PAGEREF _Toc3098 \h </w:instrText>
          </w:r>
          <w:r>
            <w:rPr>
              <w:rFonts w:hint="eastAsia" w:ascii="黑体" w:hAnsi="黑体" w:eastAsia="黑体" w:cs="黑体"/>
              <w:b/>
              <w:sz w:val="21"/>
              <w:szCs w:val="21"/>
            </w:rPr>
            <w:fldChar w:fldCharType="separate"/>
          </w:r>
          <w:r>
            <w:rPr>
              <w:rFonts w:ascii="黑体" w:hAnsi="黑体" w:eastAsia="黑体" w:cs="黑体"/>
              <w:b/>
              <w:sz w:val="21"/>
              <w:szCs w:val="21"/>
            </w:rPr>
            <w:t>4</w:t>
          </w:r>
          <w:r>
            <w:rPr>
              <w:rFonts w:hint="eastAsia" w:ascii="黑体" w:hAnsi="黑体" w:eastAsia="黑体" w:cs="黑体"/>
              <w:b/>
              <w:sz w:val="21"/>
              <w:szCs w:val="21"/>
            </w:rPr>
            <w:fldChar w:fldCharType="end"/>
          </w:r>
          <w:r>
            <w:rPr>
              <w:rFonts w:hint="eastAsia" w:ascii="黑体" w:hAnsi="黑体" w:eastAsia="黑体" w:cs="黑体"/>
              <w:b/>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"_Toc3402" </w:instrText>
          </w:r>
          <w:r>
            <w:fldChar w:fldCharType="separate"/>
          </w:r>
          <w:r>
            <w:rPr>
              <w:rFonts w:hint="eastAsia" w:ascii="黑体" w:hAnsi="黑体" w:eastAsia="黑体" w:cs="黑体"/>
              <w:sz w:val="21"/>
              <w:szCs w:val="21"/>
            </w:rPr>
            <w:t>（一）师资队伍</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_Toc3402 \h </w:instrText>
          </w:r>
          <w:r>
            <w:rPr>
              <w:rFonts w:hint="eastAsia" w:ascii="黑体" w:hAnsi="黑体" w:eastAsia="黑体" w:cs="黑体"/>
              <w:sz w:val="21"/>
              <w:szCs w:val="21"/>
            </w:rPr>
            <w:fldChar w:fldCharType="separate"/>
          </w:r>
          <w:r>
            <w:rPr>
              <w:rFonts w:ascii="黑体" w:hAnsi="黑体" w:eastAsia="黑体" w:cs="黑体"/>
              <w:sz w:val="21"/>
              <w:szCs w:val="21"/>
            </w:rPr>
            <w:t>4</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"_Toc7523" </w:instrText>
          </w:r>
          <w:r>
            <w:fldChar w:fldCharType="separate"/>
          </w:r>
          <w:r>
            <w:rPr>
              <w:rFonts w:hint="eastAsia" w:ascii="黑体" w:hAnsi="黑体" w:eastAsia="黑体" w:cs="黑体"/>
              <w:sz w:val="21"/>
              <w:szCs w:val="21"/>
            </w:rPr>
            <w:t>（二）教学条件与投入</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_Toc7523 \h </w:instrText>
          </w:r>
          <w:r>
            <w:rPr>
              <w:rFonts w:hint="eastAsia" w:ascii="黑体" w:hAnsi="黑体" w:eastAsia="黑体" w:cs="黑体"/>
              <w:sz w:val="21"/>
              <w:szCs w:val="21"/>
            </w:rPr>
            <w:fldChar w:fldCharType="separate"/>
          </w:r>
          <w:r>
            <w:rPr>
              <w:rFonts w:ascii="黑体" w:hAnsi="黑体" w:eastAsia="黑体" w:cs="黑体"/>
              <w:sz w:val="21"/>
              <w:szCs w:val="21"/>
            </w:rPr>
            <w:t>7</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6"/>
            <w:tabs>
              <w:tab w:val="right" w:leader="dot" w:pos="8306"/>
            </w:tabs>
            <w:spacing w:line="360" w:lineRule="auto"/>
            <w:rPr>
              <w:rFonts w:ascii="黑体" w:hAnsi="黑体" w:eastAsia="黑体" w:cs="黑体"/>
              <w:b/>
              <w:sz w:val="21"/>
              <w:szCs w:val="21"/>
            </w:rPr>
          </w:pPr>
          <w:r>
            <w:fldChar w:fldCharType="begin"/>
          </w:r>
          <w:r>
            <w:instrText xml:space="preserve"> HYPERLINK \l "_Toc12364" </w:instrText>
          </w:r>
          <w:r>
            <w:fldChar w:fldCharType="separate"/>
          </w:r>
          <w:r>
            <w:rPr>
              <w:rFonts w:hint="eastAsia" w:ascii="黑体" w:hAnsi="黑体" w:eastAsia="黑体" w:cs="黑体"/>
              <w:b/>
              <w:sz w:val="21"/>
              <w:szCs w:val="21"/>
            </w:rPr>
            <w:t>三、专业建设与人才培养</w:t>
          </w:r>
          <w:r>
            <w:rPr>
              <w:rFonts w:hint="eastAsia" w:ascii="黑体" w:hAnsi="黑体" w:eastAsia="黑体" w:cs="黑体"/>
              <w:b/>
              <w:sz w:val="21"/>
              <w:szCs w:val="21"/>
            </w:rPr>
            <w:tab/>
          </w:r>
          <w:r>
            <w:rPr>
              <w:rFonts w:hint="eastAsia" w:ascii="黑体" w:hAnsi="黑体" w:eastAsia="黑体" w:cs="黑体"/>
              <w:b/>
              <w:sz w:val="21"/>
              <w:szCs w:val="21"/>
            </w:rPr>
            <w:fldChar w:fldCharType="begin"/>
          </w:r>
          <w:r>
            <w:rPr>
              <w:rFonts w:hint="eastAsia" w:ascii="黑体" w:hAnsi="黑体" w:eastAsia="黑体" w:cs="黑体"/>
              <w:b/>
              <w:sz w:val="21"/>
              <w:szCs w:val="21"/>
            </w:rPr>
            <w:instrText xml:space="preserve"> PAGEREF _Toc12364 \h </w:instrText>
          </w:r>
          <w:r>
            <w:rPr>
              <w:rFonts w:hint="eastAsia" w:ascii="黑体" w:hAnsi="黑体" w:eastAsia="黑体" w:cs="黑体"/>
              <w:b/>
              <w:sz w:val="21"/>
              <w:szCs w:val="21"/>
            </w:rPr>
            <w:fldChar w:fldCharType="separate"/>
          </w:r>
          <w:r>
            <w:rPr>
              <w:rFonts w:ascii="黑体" w:hAnsi="黑体" w:eastAsia="黑体" w:cs="黑体"/>
              <w:b/>
              <w:sz w:val="21"/>
              <w:szCs w:val="21"/>
            </w:rPr>
            <w:t>8</w:t>
          </w:r>
          <w:r>
            <w:rPr>
              <w:rFonts w:hint="eastAsia" w:ascii="黑体" w:hAnsi="黑体" w:eastAsia="黑体" w:cs="黑体"/>
              <w:b/>
              <w:sz w:val="21"/>
              <w:szCs w:val="21"/>
            </w:rPr>
            <w:fldChar w:fldCharType="end"/>
          </w:r>
          <w:r>
            <w:rPr>
              <w:rFonts w:hint="eastAsia" w:ascii="黑体" w:hAnsi="黑体" w:eastAsia="黑体" w:cs="黑体"/>
              <w:b/>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"_Toc29545" </w:instrText>
          </w:r>
          <w:r>
            <w:fldChar w:fldCharType="separate"/>
          </w:r>
          <w:r>
            <w:rPr>
              <w:rFonts w:hint="eastAsia" w:ascii="黑体" w:hAnsi="黑体" w:eastAsia="黑体" w:cs="黑体"/>
              <w:sz w:val="21"/>
              <w:szCs w:val="21"/>
            </w:rPr>
            <w:t>（一）专业建设情况</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_Toc29545 \h </w:instrText>
          </w:r>
          <w:r>
            <w:rPr>
              <w:rFonts w:hint="eastAsia" w:ascii="黑体" w:hAnsi="黑体" w:eastAsia="黑体" w:cs="黑体"/>
              <w:sz w:val="21"/>
              <w:szCs w:val="21"/>
            </w:rPr>
            <w:fldChar w:fldCharType="separate"/>
          </w:r>
          <w:r>
            <w:rPr>
              <w:rFonts w:ascii="黑体" w:hAnsi="黑体" w:eastAsia="黑体" w:cs="黑体"/>
              <w:sz w:val="21"/>
              <w:szCs w:val="21"/>
            </w:rPr>
            <w:t>8</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"_Toc9784" </w:instrText>
          </w:r>
          <w:r>
            <w:fldChar w:fldCharType="separate"/>
          </w:r>
          <w:r>
            <w:rPr>
              <w:rFonts w:hint="eastAsia" w:ascii="黑体" w:hAnsi="黑体" w:eastAsia="黑体" w:cs="黑体"/>
              <w:sz w:val="21"/>
              <w:szCs w:val="21"/>
            </w:rPr>
            <w:t>（二）实践教学情况</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_Toc9784 \h </w:instrText>
          </w:r>
          <w:r>
            <w:rPr>
              <w:rFonts w:hint="eastAsia" w:ascii="黑体" w:hAnsi="黑体" w:eastAsia="黑体" w:cs="黑体"/>
              <w:sz w:val="21"/>
              <w:szCs w:val="21"/>
            </w:rPr>
            <w:fldChar w:fldCharType="separate"/>
          </w:r>
          <w:r>
            <w:rPr>
              <w:rFonts w:ascii="黑体" w:hAnsi="黑体" w:eastAsia="黑体" w:cs="黑体"/>
              <w:sz w:val="21"/>
              <w:szCs w:val="21"/>
            </w:rPr>
            <w:t>9</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"_Toc2629" </w:instrText>
          </w:r>
          <w:r>
            <w:fldChar w:fldCharType="separate"/>
          </w:r>
          <w:r>
            <w:rPr>
              <w:rFonts w:hint="eastAsia" w:ascii="黑体" w:hAnsi="黑体" w:eastAsia="黑体" w:cs="黑体"/>
              <w:sz w:val="21"/>
              <w:szCs w:val="21"/>
            </w:rPr>
            <w:t>（三）创新创业教育</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_Toc2629 \h </w:instrText>
          </w:r>
          <w:r>
            <w:rPr>
              <w:rFonts w:hint="eastAsia" w:ascii="黑体" w:hAnsi="黑体" w:eastAsia="黑体" w:cs="黑体"/>
              <w:sz w:val="21"/>
              <w:szCs w:val="21"/>
            </w:rPr>
            <w:fldChar w:fldCharType="separate"/>
          </w:r>
          <w:r>
            <w:rPr>
              <w:rFonts w:ascii="黑体" w:hAnsi="黑体" w:eastAsia="黑体" w:cs="黑体"/>
              <w:sz w:val="21"/>
              <w:szCs w:val="21"/>
            </w:rPr>
            <w:t>11</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"_Toc21985" </w:instrText>
          </w:r>
          <w:r>
            <w:fldChar w:fldCharType="separate"/>
          </w:r>
          <w:r>
            <w:rPr>
              <w:rFonts w:hint="eastAsia" w:ascii="黑体" w:hAnsi="黑体" w:eastAsia="黑体" w:cs="黑体"/>
              <w:sz w:val="21"/>
              <w:szCs w:val="21"/>
            </w:rPr>
            <w:t>（四）教学改革</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_Toc21985 \h </w:instrText>
          </w:r>
          <w:r>
            <w:rPr>
              <w:rFonts w:hint="eastAsia" w:ascii="黑体" w:hAnsi="黑体" w:eastAsia="黑体" w:cs="黑体"/>
              <w:sz w:val="21"/>
              <w:szCs w:val="21"/>
            </w:rPr>
            <w:fldChar w:fldCharType="separate"/>
          </w:r>
          <w:r>
            <w:rPr>
              <w:rFonts w:ascii="黑体" w:hAnsi="黑体" w:eastAsia="黑体" w:cs="黑体"/>
              <w:sz w:val="21"/>
              <w:szCs w:val="21"/>
            </w:rPr>
            <w:t>12</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6"/>
            <w:tabs>
              <w:tab w:val="right" w:leader="dot" w:pos="8306"/>
            </w:tabs>
            <w:spacing w:line="360" w:lineRule="auto"/>
            <w:rPr>
              <w:rFonts w:ascii="黑体" w:hAnsi="黑体" w:eastAsia="黑体" w:cs="黑体"/>
              <w:b/>
              <w:sz w:val="21"/>
              <w:szCs w:val="21"/>
            </w:rPr>
          </w:pPr>
          <w:r>
            <w:fldChar w:fldCharType="begin"/>
          </w:r>
          <w:r>
            <w:instrText xml:space="preserve"> HYPERLINK \l "_Toc1074" </w:instrText>
          </w:r>
          <w:r>
            <w:fldChar w:fldCharType="separate"/>
          </w:r>
          <w:r>
            <w:rPr>
              <w:rFonts w:hint="eastAsia" w:ascii="黑体" w:hAnsi="黑体" w:eastAsia="黑体" w:cs="黑体"/>
              <w:b/>
              <w:sz w:val="21"/>
              <w:szCs w:val="21"/>
            </w:rPr>
            <w:t>四、专业教学质量监控与保障</w:t>
          </w:r>
          <w:r>
            <w:rPr>
              <w:rFonts w:hint="eastAsia" w:ascii="黑体" w:hAnsi="黑体" w:eastAsia="黑体" w:cs="黑体"/>
              <w:b/>
              <w:sz w:val="21"/>
              <w:szCs w:val="21"/>
            </w:rPr>
            <w:tab/>
          </w:r>
          <w:r>
            <w:rPr>
              <w:rFonts w:hint="eastAsia" w:ascii="黑体" w:hAnsi="黑体" w:eastAsia="黑体" w:cs="黑体"/>
              <w:b/>
              <w:sz w:val="21"/>
              <w:szCs w:val="21"/>
            </w:rPr>
            <w:fldChar w:fldCharType="begin"/>
          </w:r>
          <w:r>
            <w:rPr>
              <w:rFonts w:hint="eastAsia" w:ascii="黑体" w:hAnsi="黑体" w:eastAsia="黑体" w:cs="黑体"/>
              <w:b/>
              <w:sz w:val="21"/>
              <w:szCs w:val="21"/>
            </w:rPr>
            <w:instrText xml:space="preserve"> PAGEREF _Toc1074 \h </w:instrText>
          </w:r>
          <w:r>
            <w:rPr>
              <w:rFonts w:hint="eastAsia" w:ascii="黑体" w:hAnsi="黑体" w:eastAsia="黑体" w:cs="黑体"/>
              <w:b/>
              <w:sz w:val="21"/>
              <w:szCs w:val="21"/>
            </w:rPr>
            <w:fldChar w:fldCharType="separate"/>
          </w:r>
          <w:r>
            <w:rPr>
              <w:rFonts w:ascii="黑体" w:hAnsi="黑体" w:eastAsia="黑体" w:cs="黑体"/>
              <w:b/>
              <w:sz w:val="21"/>
              <w:szCs w:val="21"/>
            </w:rPr>
            <w:t>19</w:t>
          </w:r>
          <w:r>
            <w:rPr>
              <w:rFonts w:hint="eastAsia" w:ascii="黑体" w:hAnsi="黑体" w:eastAsia="黑体" w:cs="黑体"/>
              <w:b/>
              <w:sz w:val="21"/>
              <w:szCs w:val="21"/>
            </w:rPr>
            <w:fldChar w:fldCharType="end"/>
          </w:r>
          <w:r>
            <w:rPr>
              <w:rFonts w:hint="eastAsia" w:ascii="黑体" w:hAnsi="黑体" w:eastAsia="黑体" w:cs="黑体"/>
              <w:b/>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"_Toc7294" </w:instrText>
          </w:r>
          <w:r>
            <w:fldChar w:fldCharType="separate"/>
          </w:r>
          <w:r>
            <w:rPr>
              <w:rFonts w:hint="eastAsia" w:ascii="黑体" w:hAnsi="黑体" w:eastAsia="黑体" w:cs="黑体"/>
              <w:sz w:val="21"/>
              <w:szCs w:val="21"/>
            </w:rPr>
            <w:t>（一）专业教学质量体系</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_Toc7294 \h </w:instrText>
          </w:r>
          <w:r>
            <w:rPr>
              <w:rFonts w:hint="eastAsia" w:ascii="黑体" w:hAnsi="黑体" w:eastAsia="黑体" w:cs="黑体"/>
              <w:sz w:val="21"/>
              <w:szCs w:val="21"/>
            </w:rPr>
            <w:fldChar w:fldCharType="separate"/>
          </w:r>
          <w:r>
            <w:rPr>
              <w:rFonts w:ascii="黑体" w:hAnsi="黑体" w:eastAsia="黑体" w:cs="黑体"/>
              <w:sz w:val="21"/>
              <w:szCs w:val="21"/>
            </w:rPr>
            <w:t>19</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"_Toc9680" </w:instrText>
          </w:r>
          <w:r>
            <w:fldChar w:fldCharType="separate"/>
          </w:r>
          <w:r>
            <w:rPr>
              <w:rFonts w:hint="eastAsia" w:ascii="黑体" w:hAnsi="黑体" w:eastAsia="黑体" w:cs="黑体"/>
              <w:sz w:val="21"/>
              <w:szCs w:val="21"/>
            </w:rPr>
            <w:t>（二）教学质量监控运行</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_Toc9680 \h </w:instrText>
          </w:r>
          <w:r>
            <w:rPr>
              <w:rFonts w:hint="eastAsia" w:ascii="黑体" w:hAnsi="黑体" w:eastAsia="黑体" w:cs="黑体"/>
              <w:sz w:val="21"/>
              <w:szCs w:val="21"/>
            </w:rPr>
            <w:fldChar w:fldCharType="separate"/>
          </w:r>
          <w:r>
            <w:rPr>
              <w:rFonts w:ascii="黑体" w:hAnsi="黑体" w:eastAsia="黑体" w:cs="黑体"/>
              <w:sz w:val="21"/>
              <w:szCs w:val="21"/>
            </w:rPr>
            <w:t>19</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"_Toc8041" </w:instrText>
          </w:r>
          <w:r>
            <w:fldChar w:fldCharType="separate"/>
          </w:r>
          <w:r>
            <w:rPr>
              <w:rFonts w:hint="eastAsia" w:ascii="黑体" w:hAnsi="黑体" w:eastAsia="黑体" w:cs="黑体"/>
              <w:sz w:val="21"/>
              <w:szCs w:val="21"/>
            </w:rPr>
            <w:t>（三）教学质量评估反馈及持续改进</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_Toc8041 \h </w:instrText>
          </w:r>
          <w:r>
            <w:rPr>
              <w:rFonts w:hint="eastAsia" w:ascii="黑体" w:hAnsi="黑体" w:eastAsia="黑体" w:cs="黑体"/>
              <w:sz w:val="21"/>
              <w:szCs w:val="21"/>
            </w:rPr>
            <w:fldChar w:fldCharType="separate"/>
          </w:r>
          <w:r>
            <w:rPr>
              <w:rFonts w:ascii="黑体" w:hAnsi="黑体" w:eastAsia="黑体" w:cs="黑体"/>
              <w:sz w:val="21"/>
              <w:szCs w:val="21"/>
            </w:rPr>
            <w:t>20</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6"/>
            <w:tabs>
              <w:tab w:val="right" w:leader="dot" w:pos="8306"/>
            </w:tabs>
            <w:spacing w:line="360" w:lineRule="auto"/>
            <w:rPr>
              <w:rFonts w:ascii="黑体" w:hAnsi="黑体" w:eastAsia="黑体" w:cs="黑体"/>
              <w:b/>
              <w:sz w:val="21"/>
              <w:szCs w:val="21"/>
            </w:rPr>
          </w:pPr>
          <w:r>
            <w:fldChar w:fldCharType="begin"/>
          </w:r>
          <w:r>
            <w:instrText xml:space="preserve"> HYPERLINK \l "_Toc3423" </w:instrText>
          </w:r>
          <w:r>
            <w:fldChar w:fldCharType="separate"/>
          </w:r>
          <w:r>
            <w:rPr>
              <w:rFonts w:hint="eastAsia" w:ascii="黑体" w:hAnsi="黑体" w:eastAsia="黑体" w:cs="黑体"/>
              <w:b/>
              <w:sz w:val="21"/>
              <w:szCs w:val="21"/>
            </w:rPr>
            <w:t>五、学生学习成效</w:t>
          </w:r>
          <w:r>
            <w:rPr>
              <w:rFonts w:hint="eastAsia" w:ascii="黑体" w:hAnsi="黑体" w:eastAsia="黑体" w:cs="黑体"/>
              <w:b/>
              <w:sz w:val="21"/>
              <w:szCs w:val="21"/>
            </w:rPr>
            <w:tab/>
          </w:r>
          <w:r>
            <w:rPr>
              <w:rFonts w:hint="eastAsia" w:ascii="黑体" w:hAnsi="黑体" w:eastAsia="黑体" w:cs="黑体"/>
              <w:b/>
              <w:sz w:val="21"/>
              <w:szCs w:val="21"/>
            </w:rPr>
            <w:fldChar w:fldCharType="begin"/>
          </w:r>
          <w:r>
            <w:rPr>
              <w:rFonts w:hint="eastAsia" w:ascii="黑体" w:hAnsi="黑体" w:eastAsia="黑体" w:cs="黑体"/>
              <w:b/>
              <w:sz w:val="21"/>
              <w:szCs w:val="21"/>
            </w:rPr>
            <w:instrText xml:space="preserve"> PAGEREF _Toc3423 \h </w:instrText>
          </w:r>
          <w:r>
            <w:rPr>
              <w:rFonts w:hint="eastAsia" w:ascii="黑体" w:hAnsi="黑体" w:eastAsia="黑体" w:cs="黑体"/>
              <w:b/>
              <w:sz w:val="21"/>
              <w:szCs w:val="21"/>
            </w:rPr>
            <w:fldChar w:fldCharType="separate"/>
          </w:r>
          <w:r>
            <w:rPr>
              <w:rFonts w:ascii="黑体" w:hAnsi="黑体" w:eastAsia="黑体" w:cs="黑体"/>
              <w:b/>
              <w:sz w:val="21"/>
              <w:szCs w:val="21"/>
            </w:rPr>
            <w:t>20</w:t>
          </w:r>
          <w:r>
            <w:rPr>
              <w:rFonts w:hint="eastAsia" w:ascii="黑体" w:hAnsi="黑体" w:eastAsia="黑体" w:cs="黑体"/>
              <w:b/>
              <w:sz w:val="21"/>
              <w:szCs w:val="21"/>
            </w:rPr>
            <w:fldChar w:fldCharType="end"/>
          </w:r>
          <w:r>
            <w:rPr>
              <w:rFonts w:hint="eastAsia" w:ascii="黑体" w:hAnsi="黑体" w:eastAsia="黑体" w:cs="黑体"/>
              <w:b/>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"_Toc8429" </w:instrText>
          </w:r>
          <w:r>
            <w:fldChar w:fldCharType="separate"/>
          </w:r>
          <w:r>
            <w:rPr>
              <w:rFonts w:hint="eastAsia" w:ascii="黑体" w:hAnsi="黑体" w:eastAsia="黑体" w:cs="黑体"/>
              <w:sz w:val="21"/>
              <w:szCs w:val="21"/>
            </w:rPr>
            <w:t>（一）学风建设情况及效果</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_Toc8429 \h </w:instrText>
          </w:r>
          <w:r>
            <w:rPr>
              <w:rFonts w:hint="eastAsia" w:ascii="黑体" w:hAnsi="黑体" w:eastAsia="黑体" w:cs="黑体"/>
              <w:sz w:val="21"/>
              <w:szCs w:val="21"/>
            </w:rPr>
            <w:fldChar w:fldCharType="separate"/>
          </w:r>
          <w:r>
            <w:rPr>
              <w:rFonts w:ascii="黑体" w:hAnsi="黑体" w:eastAsia="黑体" w:cs="黑体"/>
              <w:sz w:val="21"/>
              <w:szCs w:val="21"/>
            </w:rPr>
            <w:t>20</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7"/>
            <w:tabs>
              <w:tab w:val="right" w:leader="dot" w:pos="8306"/>
            </w:tabs>
            <w:spacing w:line="360" w:lineRule="auto"/>
            <w:ind w:left="420"/>
            <w:rPr>
              <w:rFonts w:ascii="黑体" w:hAnsi="黑体" w:eastAsia="黑体" w:cs="黑体"/>
              <w:sz w:val="21"/>
              <w:szCs w:val="21"/>
            </w:rPr>
          </w:pPr>
          <w:r>
            <w:fldChar w:fldCharType="begin"/>
          </w:r>
          <w:r>
            <w:instrText xml:space="preserve"> HYPERLINK \l "_Toc17632" </w:instrText>
          </w:r>
          <w:r>
            <w:fldChar w:fldCharType="separate"/>
          </w:r>
          <w:r>
            <w:rPr>
              <w:rFonts w:hint="eastAsia" w:ascii="黑体" w:hAnsi="黑体" w:eastAsia="黑体" w:cs="黑体"/>
              <w:sz w:val="21"/>
              <w:szCs w:val="21"/>
            </w:rPr>
            <w:t>（二）学生学习成效</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_Toc17632 \h </w:instrText>
          </w:r>
          <w:r>
            <w:rPr>
              <w:rFonts w:hint="eastAsia" w:ascii="黑体" w:hAnsi="黑体" w:eastAsia="黑体" w:cs="黑体"/>
              <w:sz w:val="21"/>
              <w:szCs w:val="21"/>
            </w:rPr>
            <w:fldChar w:fldCharType="separate"/>
          </w:r>
          <w:r>
            <w:rPr>
              <w:rFonts w:ascii="黑体" w:hAnsi="黑体" w:eastAsia="黑体" w:cs="黑体"/>
              <w:sz w:val="21"/>
              <w:szCs w:val="21"/>
            </w:rPr>
            <w:t>20</w:t>
          </w:r>
          <w:r>
            <w:rPr>
              <w:rFonts w:hint="eastAsia" w:ascii="黑体" w:hAnsi="黑体" w:eastAsia="黑体" w:cs="黑体"/>
              <w:sz w:val="21"/>
              <w:szCs w:val="21"/>
            </w:rPr>
            <w:fldChar w:fldCharType="end"/>
          </w:r>
          <w:r>
            <w:rPr>
              <w:rFonts w:hint="eastAsia" w:ascii="黑体" w:hAnsi="黑体" w:eastAsia="黑体" w:cs="黑体"/>
              <w:sz w:val="21"/>
              <w:szCs w:val="21"/>
            </w:rPr>
            <w:fldChar w:fldCharType="end"/>
          </w:r>
        </w:p>
        <w:p>
          <w:pPr>
            <w:pStyle w:val="16"/>
            <w:tabs>
              <w:tab w:val="right" w:leader="dot" w:pos="8306"/>
            </w:tabs>
            <w:spacing w:line="360" w:lineRule="auto"/>
            <w:rPr>
              <w:rFonts w:ascii="黑体" w:hAnsi="黑体" w:eastAsia="黑体" w:cs="黑体"/>
              <w:b/>
              <w:sz w:val="21"/>
              <w:szCs w:val="21"/>
            </w:rPr>
          </w:pPr>
          <w:r>
            <w:fldChar w:fldCharType="begin"/>
          </w:r>
          <w:r>
            <w:instrText xml:space="preserve"> HYPERLINK \l "_Toc6240" </w:instrText>
          </w:r>
          <w:r>
            <w:fldChar w:fldCharType="separate"/>
          </w:r>
          <w:r>
            <w:rPr>
              <w:rFonts w:hint="eastAsia" w:ascii="黑体" w:hAnsi="黑体" w:eastAsia="黑体" w:cs="黑体"/>
              <w:b/>
              <w:sz w:val="21"/>
              <w:szCs w:val="21"/>
            </w:rPr>
            <w:t>六、特色发展与案例</w:t>
          </w:r>
          <w:r>
            <w:rPr>
              <w:rFonts w:hint="eastAsia" w:ascii="黑体" w:hAnsi="黑体" w:eastAsia="黑体" w:cs="黑体"/>
              <w:b/>
              <w:sz w:val="21"/>
              <w:szCs w:val="21"/>
            </w:rPr>
            <w:tab/>
          </w:r>
          <w:r>
            <w:rPr>
              <w:rFonts w:hint="eastAsia" w:ascii="黑体" w:hAnsi="黑体" w:eastAsia="黑体" w:cs="黑体"/>
              <w:b/>
              <w:sz w:val="21"/>
              <w:szCs w:val="21"/>
            </w:rPr>
            <w:fldChar w:fldCharType="begin"/>
          </w:r>
          <w:r>
            <w:rPr>
              <w:rFonts w:hint="eastAsia" w:ascii="黑体" w:hAnsi="黑体" w:eastAsia="黑体" w:cs="黑体"/>
              <w:b/>
              <w:sz w:val="21"/>
              <w:szCs w:val="21"/>
            </w:rPr>
            <w:instrText xml:space="preserve"> PAGEREF _Toc6240 \h </w:instrText>
          </w:r>
          <w:r>
            <w:rPr>
              <w:rFonts w:hint="eastAsia" w:ascii="黑体" w:hAnsi="黑体" w:eastAsia="黑体" w:cs="黑体"/>
              <w:b/>
              <w:sz w:val="21"/>
              <w:szCs w:val="21"/>
            </w:rPr>
            <w:fldChar w:fldCharType="separate"/>
          </w:r>
          <w:r>
            <w:rPr>
              <w:rFonts w:ascii="黑体" w:hAnsi="黑体" w:eastAsia="黑体" w:cs="黑体"/>
              <w:b/>
              <w:sz w:val="21"/>
              <w:szCs w:val="21"/>
            </w:rPr>
            <w:t>21</w:t>
          </w:r>
          <w:r>
            <w:rPr>
              <w:rFonts w:hint="eastAsia" w:ascii="黑体" w:hAnsi="黑体" w:eastAsia="黑体" w:cs="黑体"/>
              <w:b/>
              <w:sz w:val="21"/>
              <w:szCs w:val="21"/>
            </w:rPr>
            <w:fldChar w:fldCharType="end"/>
          </w:r>
          <w:r>
            <w:rPr>
              <w:rFonts w:hint="eastAsia" w:ascii="黑体" w:hAnsi="黑体" w:eastAsia="黑体" w:cs="黑体"/>
              <w:b/>
              <w:sz w:val="21"/>
              <w:szCs w:val="21"/>
            </w:rPr>
            <w:fldChar w:fldCharType="end"/>
          </w:r>
        </w:p>
        <w:p>
          <w:pPr>
            <w:pStyle w:val="16"/>
            <w:tabs>
              <w:tab w:val="right" w:leader="dot" w:pos="8306"/>
            </w:tabs>
            <w:spacing w:line="360" w:lineRule="auto"/>
            <w:rPr>
              <w:rFonts w:ascii="黑体" w:hAnsi="黑体" w:eastAsia="黑体" w:cs="黑体"/>
              <w:b/>
              <w:sz w:val="21"/>
              <w:szCs w:val="21"/>
            </w:rPr>
          </w:pPr>
          <w:r>
            <w:fldChar w:fldCharType="begin"/>
          </w:r>
          <w:r>
            <w:instrText xml:space="preserve"> HYPERLINK \l "_Toc3653" </w:instrText>
          </w:r>
          <w:r>
            <w:fldChar w:fldCharType="separate"/>
          </w:r>
          <w:r>
            <w:rPr>
              <w:rFonts w:hint="eastAsia" w:ascii="黑体" w:hAnsi="黑体" w:eastAsia="黑体" w:cs="黑体"/>
              <w:b/>
              <w:sz w:val="21"/>
              <w:szCs w:val="21"/>
            </w:rPr>
            <w:t>七、问题与对策</w:t>
          </w:r>
          <w:r>
            <w:rPr>
              <w:rFonts w:hint="eastAsia" w:ascii="黑体" w:hAnsi="黑体" w:eastAsia="黑体" w:cs="黑体"/>
              <w:b/>
              <w:sz w:val="21"/>
              <w:szCs w:val="21"/>
            </w:rPr>
            <w:tab/>
          </w:r>
          <w:r>
            <w:rPr>
              <w:rFonts w:hint="eastAsia" w:ascii="黑体" w:hAnsi="黑体" w:eastAsia="黑体" w:cs="黑体"/>
              <w:b/>
              <w:sz w:val="21"/>
              <w:szCs w:val="21"/>
            </w:rPr>
            <w:fldChar w:fldCharType="begin"/>
          </w:r>
          <w:r>
            <w:rPr>
              <w:rFonts w:hint="eastAsia" w:ascii="黑体" w:hAnsi="黑体" w:eastAsia="黑体" w:cs="黑体"/>
              <w:b/>
              <w:sz w:val="21"/>
              <w:szCs w:val="21"/>
            </w:rPr>
            <w:instrText xml:space="preserve"> PAGEREF _Toc3653 \h </w:instrText>
          </w:r>
          <w:r>
            <w:rPr>
              <w:rFonts w:hint="eastAsia" w:ascii="黑体" w:hAnsi="黑体" w:eastAsia="黑体" w:cs="黑体"/>
              <w:b/>
              <w:sz w:val="21"/>
              <w:szCs w:val="21"/>
            </w:rPr>
            <w:fldChar w:fldCharType="separate"/>
          </w:r>
          <w:r>
            <w:rPr>
              <w:rFonts w:ascii="黑体" w:hAnsi="黑体" w:eastAsia="黑体" w:cs="黑体"/>
              <w:b/>
              <w:sz w:val="21"/>
              <w:szCs w:val="21"/>
            </w:rPr>
            <w:t>22</w:t>
          </w:r>
          <w:r>
            <w:rPr>
              <w:rFonts w:hint="eastAsia" w:ascii="黑体" w:hAnsi="黑体" w:eastAsia="黑体" w:cs="黑体"/>
              <w:b/>
              <w:sz w:val="21"/>
              <w:szCs w:val="21"/>
            </w:rPr>
            <w:fldChar w:fldCharType="end"/>
          </w:r>
          <w:r>
            <w:rPr>
              <w:rFonts w:hint="eastAsia" w:ascii="黑体" w:hAnsi="黑体" w:eastAsia="黑体" w:cs="黑体"/>
              <w:b/>
              <w:sz w:val="21"/>
              <w:szCs w:val="21"/>
            </w:rPr>
            <w:fldChar w:fldCharType="end"/>
          </w:r>
        </w:p>
        <w:p>
          <w:pPr>
            <w:widowControl/>
            <w:shd w:val="clear" w:color="auto" w:fill="FFFFFF"/>
            <w:spacing w:line="360" w:lineRule="auto"/>
            <w:jc w:val="left"/>
            <w:rPr>
              <w:rFonts w:ascii="宋体" w:hAnsi="宋体" w:cs="宋体"/>
              <w:b/>
              <w:bCs/>
              <w:color w:val="333333"/>
              <w:kern w:val="0"/>
              <w:sz w:val="24"/>
              <w:szCs w:val="24"/>
            </w:rPr>
          </w:pPr>
          <w:r>
            <w:rPr>
              <w:rFonts w:hint="eastAsia" w:ascii="黑体" w:hAnsi="黑体" w:eastAsia="黑体" w:cs="黑体"/>
              <w:b/>
              <w:bCs/>
              <w:color w:val="333333"/>
              <w:kern w:val="0"/>
              <w:szCs w:val="21"/>
            </w:rPr>
            <w:fldChar w:fldCharType="end"/>
          </w:r>
        </w:p>
      </w:sdtContent>
    </w:sdt>
    <w:p>
      <w:pPr>
        <w:widowControl/>
        <w:shd w:val="clear" w:color="auto" w:fill="FFFFFF"/>
        <w:spacing w:line="400" w:lineRule="exact"/>
        <w:jc w:val="left"/>
        <w:rPr>
          <w:rFonts w:ascii="宋体" w:hAnsi="宋体" w:cs="宋体"/>
          <w:b/>
          <w:bCs/>
          <w:color w:val="333333"/>
          <w:kern w:val="0"/>
          <w:sz w:val="24"/>
          <w:szCs w:val="24"/>
        </w:rPr>
      </w:pPr>
    </w:p>
    <w:p>
      <w:pPr>
        <w:widowControl/>
        <w:shd w:val="clear" w:color="auto" w:fill="FFFFFF"/>
        <w:spacing w:line="400" w:lineRule="exact"/>
        <w:jc w:val="left"/>
        <w:rPr>
          <w:rFonts w:ascii="宋体" w:hAnsi="宋体" w:cs="宋体"/>
          <w:b/>
          <w:bCs/>
          <w:color w:val="333333"/>
          <w:kern w:val="0"/>
          <w:sz w:val="24"/>
          <w:szCs w:val="24"/>
        </w:rPr>
      </w:pPr>
    </w:p>
    <w:p>
      <w:pPr>
        <w:widowControl/>
        <w:shd w:val="clear" w:color="auto" w:fill="FFFFFF"/>
        <w:spacing w:line="400" w:lineRule="exact"/>
        <w:jc w:val="left"/>
        <w:rPr>
          <w:rFonts w:ascii="宋体" w:hAnsi="宋体" w:cs="宋体"/>
          <w:b/>
          <w:bCs/>
          <w:color w:val="333333"/>
          <w:kern w:val="0"/>
          <w:sz w:val="24"/>
          <w:szCs w:val="24"/>
        </w:rPr>
      </w:pPr>
    </w:p>
    <w:p>
      <w:pPr>
        <w:widowControl/>
        <w:shd w:val="clear" w:color="auto" w:fill="FFFFFF"/>
        <w:spacing w:line="400" w:lineRule="exact"/>
        <w:jc w:val="left"/>
        <w:rPr>
          <w:rFonts w:ascii="宋体" w:hAnsi="宋体" w:cs="宋体"/>
          <w:b/>
          <w:bCs/>
          <w:color w:val="333333"/>
          <w:kern w:val="0"/>
          <w:sz w:val="24"/>
          <w:szCs w:val="24"/>
        </w:rPr>
      </w:pPr>
    </w:p>
    <w:p>
      <w:pPr>
        <w:widowControl/>
        <w:shd w:val="clear" w:color="auto" w:fill="FFFFFF"/>
        <w:spacing w:line="400" w:lineRule="exact"/>
        <w:jc w:val="left"/>
        <w:rPr>
          <w:rFonts w:ascii="宋体" w:hAnsi="宋体" w:cs="宋体"/>
          <w:b/>
          <w:bCs/>
          <w:color w:val="333333"/>
          <w:kern w:val="0"/>
          <w:sz w:val="24"/>
          <w:szCs w:val="24"/>
        </w:rPr>
      </w:pPr>
    </w:p>
    <w:p>
      <w:pPr>
        <w:widowControl/>
        <w:shd w:val="clear" w:color="auto" w:fill="FFFFFF"/>
        <w:spacing w:line="400" w:lineRule="exact"/>
        <w:jc w:val="left"/>
        <w:rPr>
          <w:rFonts w:ascii="宋体" w:hAnsi="宋体" w:cs="宋体"/>
          <w:b/>
          <w:bCs/>
          <w:color w:val="333333"/>
          <w:kern w:val="0"/>
          <w:sz w:val="24"/>
          <w:szCs w:val="24"/>
        </w:rPr>
      </w:pPr>
    </w:p>
    <w:p>
      <w:pPr>
        <w:widowControl/>
        <w:shd w:val="clear" w:color="auto" w:fill="FFFFFF"/>
        <w:spacing w:line="400" w:lineRule="exact"/>
        <w:jc w:val="left"/>
        <w:rPr>
          <w:rFonts w:ascii="宋体" w:hAnsi="宋体" w:cs="宋体"/>
          <w:b/>
          <w:bCs/>
          <w:color w:val="333333"/>
          <w:kern w:val="0"/>
          <w:sz w:val="24"/>
          <w:szCs w:val="24"/>
        </w:rPr>
      </w:pPr>
    </w:p>
    <w:p>
      <w:pPr>
        <w:pStyle w:val="2"/>
        <w:spacing w:line="400" w:lineRule="exact"/>
        <w:sectPr>
          <w:footerReference r:id="rId3" w:type="default"/>
          <w:pgSz w:w="11906" w:h="16838"/>
          <w:pgMar w:top="1440" w:right="1800" w:bottom="1440" w:left="1800" w:header="851" w:footer="992" w:gutter="0"/>
          <w:cols w:space="720" w:num="1"/>
          <w:docGrid w:type="lines" w:linePitch="312" w:charSpace="0"/>
        </w:sectPr>
      </w:pPr>
      <w:bookmarkStart w:id="0" w:name="_Toc28013"/>
    </w:p>
    <w:p>
      <w:pPr>
        <w:pStyle w:val="2"/>
        <w:spacing w:line="400" w:lineRule="exact"/>
      </w:pPr>
      <w:r>
        <w:rPr>
          <w:rFonts w:hint="eastAsia"/>
        </w:rPr>
        <w:t>一、专业基本概况</w:t>
      </w:r>
      <w:bookmarkEnd w:id="0"/>
    </w:p>
    <w:p>
      <w:pPr>
        <w:pStyle w:val="3"/>
        <w:spacing w:line="400" w:lineRule="exact"/>
      </w:pPr>
      <w:bookmarkStart w:id="1" w:name="_Toc7600"/>
      <w:r>
        <w:rPr>
          <w:rFonts w:hint="eastAsia"/>
        </w:rPr>
        <w:t>（一）专业概况</w:t>
      </w:r>
      <w:bookmarkEnd w:id="1"/>
    </w:p>
    <w:p>
      <w:pPr>
        <w:widowControl/>
        <w:shd w:val="clear" w:color="auto" w:fill="FFFFFF"/>
        <w:spacing w:line="360" w:lineRule="auto"/>
        <w:ind w:firstLine="482" w:firstLineChars="200"/>
        <w:jc w:val="left"/>
        <w:rPr>
          <w:rFonts w:ascii="黑体" w:hAnsi="黑体" w:eastAsia="黑体"/>
          <w:b/>
          <w:bCs/>
          <w:sz w:val="24"/>
          <w:szCs w:val="24"/>
        </w:rPr>
      </w:pPr>
      <w:r>
        <w:rPr>
          <w:rFonts w:hint="eastAsia" w:ascii="黑体" w:hAnsi="黑体" w:eastAsia="黑体"/>
          <w:b/>
          <w:bCs/>
          <w:sz w:val="24"/>
          <w:szCs w:val="24"/>
        </w:rPr>
        <w:t>1</w:t>
      </w:r>
      <w:r>
        <w:rPr>
          <w:rFonts w:ascii="黑体" w:hAnsi="黑体" w:eastAsia="黑体"/>
          <w:b/>
          <w:bCs/>
          <w:sz w:val="24"/>
          <w:szCs w:val="24"/>
        </w:rPr>
        <w:t xml:space="preserve">. </w:t>
      </w:r>
      <w:r>
        <w:rPr>
          <w:rFonts w:hint="eastAsia" w:ascii="黑体" w:hAnsi="黑体" w:eastAsia="黑体"/>
          <w:b/>
          <w:bCs/>
          <w:sz w:val="24"/>
          <w:szCs w:val="24"/>
        </w:rPr>
        <w:t>学院概况</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飞行技术专业隶属于航空运输学院（飞行学院）。为了适应我国民用航空业的又快又好发展，学校围绕民航强国的总体战略，把握民航业的发展趋势和竞争态势，紧扣上海加快建设“四个中心”和增强城市国际竞争力，依托航空产业、服务区域经济，突显现代民航工程及管理应用型人才创新培养模式的特色，与上海的航空企业校企合作、资源共享、优势互补，于1993年创办了“上海工程技术大学航空运输学院”、2007年成立了上海高校中唯一培养飞行技术专门人才的“上海工程技术大学飞行学院”。学院现设有飞行技术系、民航运输系、航空运营工程系、航空维修工程系、院中心实验室、院办公室、学生工作办公室等部门；拥有飞行技术、交通运输（航空器械维修）、飞行器制造工程、物流管理（航空物流）、交通管理、航空服务艺术与管理等6个本科专业。</w:t>
      </w:r>
    </w:p>
    <w:p>
      <w:pPr>
        <w:widowControl/>
        <w:shd w:val="clear" w:color="auto" w:fill="FFFFFF"/>
        <w:spacing w:line="360" w:lineRule="auto"/>
        <w:ind w:firstLine="482" w:firstLineChars="200"/>
        <w:jc w:val="left"/>
        <w:rPr>
          <w:rFonts w:ascii="黑体" w:hAnsi="黑体" w:eastAsia="黑体"/>
          <w:b/>
          <w:bCs/>
          <w:sz w:val="24"/>
          <w:szCs w:val="24"/>
        </w:rPr>
      </w:pPr>
      <w:r>
        <w:rPr>
          <w:rFonts w:ascii="黑体" w:hAnsi="黑体" w:eastAsia="黑体"/>
          <w:b/>
          <w:bCs/>
          <w:sz w:val="24"/>
          <w:szCs w:val="24"/>
        </w:rPr>
        <w:t xml:space="preserve">2. </w:t>
      </w:r>
      <w:r>
        <w:rPr>
          <w:rFonts w:hint="eastAsia" w:ascii="黑体" w:hAnsi="黑体" w:eastAsia="黑体"/>
          <w:b/>
          <w:bCs/>
          <w:sz w:val="24"/>
          <w:szCs w:val="24"/>
        </w:rPr>
        <w:t>专业历史沿革</w:t>
      </w:r>
    </w:p>
    <w:p>
      <w:pPr>
        <w:spacing w:line="360" w:lineRule="auto"/>
        <w:ind w:firstLine="480" w:firstLineChars="200"/>
        <w:rPr>
          <w:rFonts w:ascii="仿宋_GB2312" w:eastAsia="仿宋_GB2312"/>
          <w:sz w:val="24"/>
          <w:szCs w:val="24"/>
        </w:rPr>
      </w:pPr>
      <w:r>
        <w:rPr>
          <w:rFonts w:ascii="仿宋_GB2312" w:eastAsia="仿宋_GB2312"/>
          <w:sz w:val="24"/>
          <w:szCs w:val="24"/>
        </w:rPr>
        <w:t>2007年，在原航空运输学院的基础上，我校成立了飞行学院，飞行技术专业同年开设，专业秉承学校现代化工程应用型特色大学的办学理念，</w:t>
      </w:r>
      <w:r>
        <w:rPr>
          <w:rFonts w:hint="eastAsia" w:ascii="仿宋_GB2312" w:eastAsia="仿宋_GB2312"/>
          <w:sz w:val="24"/>
          <w:szCs w:val="24"/>
        </w:rPr>
        <w:t>先后</w:t>
      </w:r>
      <w:r>
        <w:rPr>
          <w:rFonts w:ascii="仿宋_GB2312" w:eastAsia="仿宋_GB2312"/>
          <w:sz w:val="24"/>
          <w:szCs w:val="24"/>
        </w:rPr>
        <w:t>与</w:t>
      </w:r>
      <w:r>
        <w:rPr>
          <w:rFonts w:hint="eastAsia" w:ascii="仿宋_GB2312" w:eastAsia="仿宋_GB2312"/>
          <w:sz w:val="24"/>
          <w:szCs w:val="24"/>
        </w:rPr>
        <w:t>上海航空公司、</w:t>
      </w:r>
      <w:r>
        <w:rPr>
          <w:rFonts w:ascii="仿宋_GB2312" w:eastAsia="仿宋_GB2312"/>
          <w:sz w:val="24"/>
          <w:szCs w:val="24"/>
        </w:rPr>
        <w:t>中国东方航空公司、吉祥、春秋、山东航空等多家民航企业深度融合，定位于“民航运输机驾驶员”这一国家紧缺人才的培养，是上海地区唯一培养民航飞行员的本科专业，在全国同类专业中具有较强影响力，在国内航空运输企业中享有盛誉。</w:t>
      </w:r>
    </w:p>
    <w:p>
      <w:pPr>
        <w:spacing w:line="360" w:lineRule="auto"/>
        <w:ind w:firstLine="480" w:firstLineChars="200"/>
        <w:rPr>
          <w:rFonts w:ascii="仿宋_GB2312" w:eastAsia="仿宋_GB2312"/>
          <w:sz w:val="24"/>
          <w:szCs w:val="24"/>
        </w:rPr>
      </w:pPr>
      <w:r>
        <w:rPr>
          <w:rFonts w:ascii="仿宋_GB2312" w:eastAsia="仿宋_GB2312"/>
          <w:sz w:val="24"/>
          <w:szCs w:val="24"/>
        </w:rPr>
        <w:t>飞行技术专业的成立及专业发展，是我校与航空公司产学融合的标志性成果，专业于2010年获首批“卓越工程师计划”试点专业，建成以14个专业实验室为核心的综合性专业实践教学平台，并于2015年获批国家级虚拟仿真实验教学中心，2016年获上海市属高校应用型本科试点专业，于</w:t>
      </w:r>
      <w:r>
        <w:rPr>
          <w:rFonts w:hint="eastAsia" w:ascii="仿宋_GB2312" w:eastAsia="仿宋_GB2312"/>
          <w:sz w:val="24"/>
          <w:szCs w:val="24"/>
        </w:rPr>
        <w:t>2019年通过建设验收（验收结论为“优秀”）</w:t>
      </w:r>
      <w:r>
        <w:rPr>
          <w:rFonts w:ascii="仿宋_GB2312" w:eastAsia="仿宋_GB2312"/>
          <w:sz w:val="24"/>
          <w:szCs w:val="24"/>
        </w:rPr>
        <w:t>。专业在建立校企战略联盟、改革人才培养模式、建设高水平工程教育师资队伍、国际化交流合作等方面取得显著成效，分别于2014及2018年两次荣获上海市教学成果一等奖，于</w:t>
      </w:r>
      <w:r>
        <w:rPr>
          <w:rFonts w:hint="eastAsia" w:ascii="仿宋_GB2312" w:eastAsia="仿宋_GB2312"/>
          <w:sz w:val="24"/>
          <w:szCs w:val="24"/>
        </w:rPr>
        <w:t>202</w:t>
      </w:r>
      <w:r>
        <w:rPr>
          <w:rFonts w:ascii="仿宋_GB2312" w:eastAsia="仿宋_GB2312"/>
          <w:sz w:val="24"/>
          <w:szCs w:val="24"/>
        </w:rPr>
        <w:t>2</w:t>
      </w:r>
      <w:r>
        <w:rPr>
          <w:rFonts w:hint="eastAsia" w:ascii="仿宋_GB2312" w:eastAsia="仿宋_GB2312"/>
          <w:sz w:val="24"/>
          <w:szCs w:val="24"/>
        </w:rPr>
        <w:t>年获</w:t>
      </w:r>
      <w:r>
        <w:rPr>
          <w:rFonts w:ascii="仿宋_GB2312" w:eastAsia="仿宋_GB2312"/>
          <w:sz w:val="24"/>
          <w:szCs w:val="24"/>
        </w:rPr>
        <w:t>上海市教学成果</w:t>
      </w:r>
      <w:r>
        <w:rPr>
          <w:rFonts w:hint="eastAsia" w:ascii="仿宋_GB2312" w:eastAsia="仿宋_GB2312"/>
          <w:sz w:val="24"/>
          <w:szCs w:val="24"/>
        </w:rPr>
        <w:t>二</w:t>
      </w:r>
      <w:r>
        <w:rPr>
          <w:rFonts w:ascii="仿宋_GB2312" w:eastAsia="仿宋_GB2312"/>
          <w:sz w:val="24"/>
          <w:szCs w:val="24"/>
        </w:rPr>
        <w:t>等奖。2017年获上海市示范性全英语教学规划专业，2020年获批上海市一流本科专业建设点，先后获国家级一流本科课程</w:t>
      </w:r>
      <w:r>
        <w:rPr>
          <w:rFonts w:hint="eastAsia" w:ascii="仿宋_GB2312" w:eastAsia="仿宋_GB2312"/>
          <w:sz w:val="24"/>
          <w:szCs w:val="24"/>
        </w:rPr>
        <w:t>4门</w:t>
      </w:r>
      <w:r>
        <w:rPr>
          <w:rFonts w:ascii="仿宋_GB2312" w:eastAsia="仿宋_GB2312"/>
          <w:sz w:val="24"/>
          <w:szCs w:val="24"/>
        </w:rPr>
        <w:t>，并获得包括</w:t>
      </w:r>
      <w:r>
        <w:rPr>
          <w:rFonts w:hint="eastAsia" w:ascii="仿宋_GB2312" w:eastAsia="仿宋_GB2312"/>
          <w:sz w:val="24"/>
          <w:szCs w:val="24"/>
        </w:rPr>
        <w:t>上海市一流课程、</w:t>
      </w:r>
      <w:r>
        <w:rPr>
          <w:rFonts w:ascii="仿宋_GB2312" w:eastAsia="仿宋_GB2312"/>
          <w:sz w:val="24"/>
          <w:szCs w:val="24"/>
        </w:rPr>
        <w:t>上海市育才奖、上海市优秀教材等十余项市级教学成果。</w:t>
      </w:r>
    </w:p>
    <w:p>
      <w:pPr>
        <w:spacing w:line="360" w:lineRule="auto"/>
        <w:ind w:firstLine="480" w:firstLineChars="200"/>
        <w:rPr>
          <w:rFonts w:ascii="仿宋_GB2312" w:eastAsia="仿宋_GB2312"/>
          <w:sz w:val="24"/>
          <w:szCs w:val="24"/>
        </w:rPr>
      </w:pPr>
      <w:r>
        <w:rPr>
          <w:rFonts w:ascii="仿宋_GB2312" w:eastAsia="仿宋_GB2312"/>
          <w:sz w:val="24"/>
          <w:szCs w:val="24"/>
        </w:rPr>
        <w:t>飞行技术专业采用</w:t>
      </w:r>
      <w:r>
        <w:rPr>
          <w:rFonts w:hint="eastAsia" w:ascii="仿宋_GB2312" w:eastAsia="仿宋_GB2312"/>
          <w:sz w:val="24"/>
          <w:szCs w:val="24"/>
        </w:rPr>
        <w:t>“</w:t>
      </w:r>
      <w:r>
        <w:rPr>
          <w:rFonts w:ascii="仿宋_GB2312" w:eastAsia="仿宋_GB2312"/>
          <w:sz w:val="24"/>
          <w:szCs w:val="24"/>
        </w:rPr>
        <w:t>订单式</w:t>
      </w:r>
      <w:r>
        <w:rPr>
          <w:rFonts w:hint="eastAsia" w:ascii="仿宋_GB2312" w:eastAsia="仿宋_GB2312"/>
          <w:sz w:val="24"/>
          <w:szCs w:val="24"/>
        </w:rPr>
        <w:t>”</w:t>
      </w:r>
      <w:r>
        <w:rPr>
          <w:rFonts w:ascii="仿宋_GB2312" w:eastAsia="仿宋_GB2312"/>
          <w:sz w:val="24"/>
          <w:szCs w:val="24"/>
        </w:rPr>
        <w:t>培养模式，以</w:t>
      </w:r>
      <w:r>
        <w:rPr>
          <w:rFonts w:hint="eastAsia" w:ascii="仿宋_GB2312" w:eastAsia="仿宋_GB2312"/>
          <w:sz w:val="24"/>
          <w:szCs w:val="24"/>
        </w:rPr>
        <w:t>“</w:t>
      </w:r>
      <w:r>
        <w:rPr>
          <w:rFonts w:ascii="仿宋_GB2312" w:eastAsia="仿宋_GB2312"/>
          <w:sz w:val="24"/>
          <w:szCs w:val="24"/>
        </w:rPr>
        <w:t>2.5+1.5</w:t>
      </w:r>
      <w:r>
        <w:rPr>
          <w:rFonts w:hint="eastAsia" w:ascii="仿宋_GB2312" w:eastAsia="仿宋_GB2312"/>
          <w:sz w:val="24"/>
          <w:szCs w:val="24"/>
        </w:rPr>
        <w:t>”</w:t>
      </w:r>
      <w:r>
        <w:rPr>
          <w:rFonts w:ascii="仿宋_GB2312" w:eastAsia="仿宋_GB2312"/>
          <w:sz w:val="24"/>
          <w:szCs w:val="24"/>
        </w:rPr>
        <w:t>，即先校内理论学习2.5年，再校外1.5年飞行训练实习两阶段学习，实施“学历教育+执照培训”的教育模式。截止目前，委托我校进行人才培养的航空企业有中国东方航空股份有限公司、山东航空股份有限公司</w:t>
      </w:r>
      <w:r>
        <w:rPr>
          <w:rFonts w:hint="eastAsia" w:ascii="仿宋_GB2312" w:eastAsia="仿宋_GB2312"/>
          <w:sz w:val="24"/>
          <w:szCs w:val="24"/>
        </w:rPr>
        <w:t>以</w:t>
      </w:r>
      <w:r>
        <w:rPr>
          <w:rFonts w:ascii="仿宋_GB2312" w:eastAsia="仿宋_GB2312"/>
          <w:sz w:val="24"/>
          <w:szCs w:val="24"/>
        </w:rPr>
        <w:t>及上海吉祥航空股份有限公司等。经过多年的努力，本专业已为各航空企业输送了</w:t>
      </w:r>
      <w:r>
        <w:rPr>
          <w:rFonts w:hint="eastAsia" w:ascii="仿宋_GB2312" w:eastAsia="仿宋_GB2312"/>
          <w:sz w:val="24"/>
          <w:szCs w:val="24"/>
        </w:rPr>
        <w:t>10</w:t>
      </w:r>
      <w:r>
        <w:rPr>
          <w:rFonts w:ascii="仿宋_GB2312" w:eastAsia="仿宋_GB2312"/>
          <w:sz w:val="24"/>
          <w:szCs w:val="24"/>
        </w:rPr>
        <w:t>00多名飞行技术人才。</w:t>
      </w:r>
      <w:r>
        <w:rPr>
          <w:rFonts w:hint="eastAsia" w:ascii="仿宋_GB2312" w:eastAsia="仿宋_GB2312"/>
          <w:sz w:val="24"/>
          <w:szCs w:val="24"/>
        </w:rPr>
        <w:t>目前，</w:t>
      </w:r>
      <w:r>
        <w:rPr>
          <w:rFonts w:ascii="仿宋_GB2312" w:eastAsia="仿宋_GB2312"/>
          <w:sz w:val="24"/>
          <w:szCs w:val="24"/>
        </w:rPr>
        <w:t>本专业在校生人数772人，2018年招收人数首次突破200人。专业基本情况见表1。</w:t>
      </w:r>
    </w:p>
    <w:p>
      <w:pPr>
        <w:widowControl/>
        <w:shd w:val="clear" w:color="auto" w:fill="FFFFFF"/>
        <w:spacing w:before="156" w:beforeLines="50" w:line="360" w:lineRule="auto"/>
        <w:ind w:firstLine="482" w:firstLineChars="200"/>
        <w:jc w:val="center"/>
        <w:rPr>
          <w:rFonts w:ascii="黑体" w:hAnsi="黑体" w:eastAsia="黑体" w:cs="黑体"/>
          <w:b/>
          <w:bCs/>
          <w:color w:val="333333"/>
          <w:kern w:val="0"/>
          <w:sz w:val="24"/>
          <w:szCs w:val="24"/>
        </w:rPr>
      </w:pPr>
      <w:r>
        <w:rPr>
          <w:rFonts w:hint="eastAsia" w:ascii="黑体" w:hAnsi="黑体" w:eastAsia="黑体" w:cs="黑体"/>
          <w:b/>
          <w:bCs/>
          <w:color w:val="333333"/>
          <w:kern w:val="0"/>
          <w:sz w:val="24"/>
          <w:szCs w:val="24"/>
        </w:rPr>
        <w:t>表1 专业基本情况（时点）</w:t>
      </w:r>
    </w:p>
    <w:tbl>
      <w:tblPr>
        <w:tblStyle w:val="10"/>
        <w:tblW w:w="4997" w:type="pct"/>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autofit"/>
        <w:tblCellMar>
          <w:top w:w="15" w:type="dxa"/>
          <w:left w:w="15" w:type="dxa"/>
          <w:bottom w:w="15" w:type="dxa"/>
          <w:right w:w="15" w:type="dxa"/>
        </w:tblCellMar>
      </w:tblPr>
      <w:tblGrid>
        <w:gridCol w:w="1250"/>
        <w:gridCol w:w="1351"/>
        <w:gridCol w:w="750"/>
        <w:gridCol w:w="2174"/>
        <w:gridCol w:w="1486"/>
        <w:gridCol w:w="1320"/>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08" w:hRule="atLeast"/>
          <w:tblHeader/>
        </w:trPr>
        <w:tc>
          <w:tcPr>
            <w:tcW w:w="750" w:type="pct"/>
            <w:vMerge w:val="restart"/>
            <w:tcBorders>
              <w:top w:val="single" w:color="4F81BD" w:sz="8" w:space="0"/>
              <w:left w:val="single" w:color="4F81BD" w:sz="8"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专业名称</w:t>
            </w:r>
          </w:p>
        </w:tc>
        <w:tc>
          <w:tcPr>
            <w:tcW w:w="811" w:type="pct"/>
            <w:vMerge w:val="restar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专业设置年限</w:t>
            </w:r>
          </w:p>
        </w:tc>
        <w:tc>
          <w:tcPr>
            <w:tcW w:w="450" w:type="pct"/>
            <w:vMerge w:val="restar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学制</w:t>
            </w:r>
          </w:p>
        </w:tc>
        <w:tc>
          <w:tcPr>
            <w:tcW w:w="2197" w:type="pct"/>
            <w:gridSpan w:val="2"/>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优势专业情况</w:t>
            </w:r>
          </w:p>
        </w:tc>
        <w:tc>
          <w:tcPr>
            <w:tcW w:w="792" w:type="pct"/>
            <w:vMerge w:val="restar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在校学生数</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142" w:hRule="atLeast"/>
          <w:tblHeader/>
        </w:trPr>
        <w:tc>
          <w:tcPr>
            <w:tcW w:w="750" w:type="pct"/>
            <w:vMerge w:val="continue"/>
            <w:tcBorders>
              <w:top w:val="single" w:color="4F81BD" w:sz="8" w:space="0"/>
              <w:left w:val="single" w:color="4F81BD" w:sz="8" w:space="0"/>
              <w:bottom w:val="single" w:color="4F81BD" w:sz="8" w:space="0"/>
              <w:right w:val="dotted" w:color="auto" w:sz="6" w:space="0"/>
            </w:tcBorders>
            <w:shd w:val="clear" w:color="auto" w:fill="FFFFFF"/>
            <w:vAlign w:val="center"/>
          </w:tcPr>
          <w:p>
            <w:pPr>
              <w:spacing w:line="400" w:lineRule="exact"/>
              <w:jc w:val="center"/>
              <w:rPr>
                <w:rFonts w:ascii="黑体" w:hAnsi="黑体" w:eastAsia="黑体" w:cs="黑体"/>
                <w:b/>
                <w:bCs/>
                <w:color w:val="000000"/>
              </w:rPr>
            </w:pPr>
          </w:p>
        </w:tc>
        <w:tc>
          <w:tcPr>
            <w:tcW w:w="811" w:type="pct"/>
            <w:vMerge w:val="continue"/>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rFonts w:ascii="黑体" w:hAnsi="黑体" w:eastAsia="黑体" w:cs="黑体"/>
                <w:b/>
                <w:bCs/>
                <w:color w:val="000000"/>
              </w:rPr>
            </w:pPr>
          </w:p>
        </w:tc>
        <w:tc>
          <w:tcPr>
            <w:tcW w:w="450" w:type="pct"/>
            <w:vMerge w:val="continue"/>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rFonts w:ascii="黑体" w:hAnsi="黑体" w:eastAsia="黑体" w:cs="黑体"/>
                <w:b/>
                <w:bCs/>
                <w:color w:val="000000"/>
              </w:rPr>
            </w:pPr>
          </w:p>
        </w:tc>
        <w:tc>
          <w:tcPr>
            <w:tcW w:w="1305" w:type="pct"/>
            <w:tcBorders>
              <w:top w:val="single" w:color="4F81BD" w:sz="8" w:space="0"/>
              <w:left w:val="dotted" w:color="auto" w:sz="6" w:space="0"/>
              <w:bottom w:val="single" w:color="4F81BD" w:sz="8" w:space="0"/>
              <w:right w:val="dotted" w:color="auto" w:sz="6"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名称</w:t>
            </w:r>
          </w:p>
        </w:tc>
        <w:tc>
          <w:tcPr>
            <w:tcW w:w="892" w:type="pct"/>
            <w:tcBorders>
              <w:top w:val="single" w:color="4F81BD" w:sz="8" w:space="0"/>
              <w:left w:val="dotted" w:color="auto" w:sz="6" w:space="0"/>
              <w:bottom w:val="single" w:color="4F81BD" w:sz="8" w:space="0"/>
              <w:right w:val="dotted" w:color="auto" w:sz="6"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时间</w:t>
            </w:r>
          </w:p>
        </w:tc>
        <w:tc>
          <w:tcPr>
            <w:tcW w:w="792" w:type="pct"/>
            <w:vMerge w:val="continue"/>
            <w:tcBorders>
              <w:top w:val="single" w:color="4F81BD" w:sz="8" w:space="0"/>
              <w:left w:val="dotted" w:color="auto" w:sz="6"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b/>
                <w:bCs/>
                <w:color w:val="000000"/>
              </w:rPr>
            </w:pP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750" w:type="pct"/>
            <w:vMerge w:val="restart"/>
            <w:tcBorders>
              <w:top w:val="single" w:color="4F81BD" w:sz="8" w:space="0"/>
              <w:left w:val="single" w:color="4F81BD" w:sz="8" w:space="0"/>
              <w:right w:val="dotted" w:color="auto" w:sz="6" w:space="0"/>
            </w:tcBorders>
            <w:shd w:val="clear" w:color="auto" w:fill="FFFFFF"/>
            <w:vAlign w:val="center"/>
          </w:tcPr>
          <w:p>
            <w:pPr>
              <w:spacing w:line="400" w:lineRule="exact"/>
              <w:jc w:val="center"/>
              <w:rPr>
                <w:color w:val="000000"/>
              </w:rPr>
            </w:pPr>
            <w:r>
              <w:rPr>
                <w:rFonts w:hint="eastAsia"/>
                <w:color w:val="000000"/>
              </w:rPr>
              <w:t>飞行技术</w:t>
            </w:r>
          </w:p>
        </w:tc>
        <w:tc>
          <w:tcPr>
            <w:tcW w:w="811" w:type="pct"/>
            <w:vMerge w:val="restart"/>
            <w:tcBorders>
              <w:top w:val="single" w:color="4F81BD" w:sz="8" w:space="0"/>
              <w:left w:val="dotted" w:color="auto" w:sz="6" w:space="0"/>
              <w:right w:val="dotted" w:color="auto" w:sz="6" w:space="0"/>
            </w:tcBorders>
            <w:shd w:val="clear" w:color="auto" w:fill="FFFFFF"/>
            <w:vAlign w:val="center"/>
          </w:tcPr>
          <w:p>
            <w:pPr>
              <w:spacing w:line="400" w:lineRule="exact"/>
              <w:jc w:val="center"/>
              <w:rPr>
                <w:rFonts w:ascii="Times New Roman" w:hAnsi="Times New Roman"/>
                <w:color w:val="000000"/>
              </w:rPr>
            </w:pPr>
            <w:r>
              <w:rPr>
                <w:rFonts w:ascii="Times New Roman" w:hAnsi="Times New Roman"/>
                <w:color w:val="000000"/>
              </w:rPr>
              <w:t>2007</w:t>
            </w:r>
          </w:p>
        </w:tc>
        <w:tc>
          <w:tcPr>
            <w:tcW w:w="450" w:type="pct"/>
            <w:vMerge w:val="restart"/>
            <w:tcBorders>
              <w:top w:val="single" w:color="4F81BD" w:sz="8" w:space="0"/>
              <w:left w:val="dotted" w:color="auto" w:sz="6" w:space="0"/>
              <w:right w:val="dotted" w:color="auto" w:sz="6" w:space="0"/>
            </w:tcBorders>
            <w:shd w:val="clear" w:color="auto" w:fill="FFFFFF"/>
            <w:vAlign w:val="center"/>
          </w:tcPr>
          <w:p>
            <w:pPr>
              <w:spacing w:line="400" w:lineRule="exact"/>
              <w:jc w:val="center"/>
              <w:rPr>
                <w:color w:val="000000"/>
              </w:rPr>
            </w:pPr>
            <w:r>
              <w:rPr>
                <w:rFonts w:hint="eastAsia"/>
                <w:color w:val="000000"/>
              </w:rPr>
              <w:t>四</w:t>
            </w:r>
          </w:p>
        </w:tc>
        <w:tc>
          <w:tcPr>
            <w:tcW w:w="1305"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ascii="Times New Roman" w:hAnsi="Times New Roman" w:eastAsia="楷体"/>
                <w:color w:val="000000"/>
                <w:szCs w:val="21"/>
              </w:rPr>
              <w:t>首批“卓越工程师计划”试点专业</w:t>
            </w:r>
          </w:p>
        </w:tc>
        <w:tc>
          <w:tcPr>
            <w:tcW w:w="892"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ascii="Times New Roman" w:hAnsi="Times New Roman" w:eastAsia="楷体"/>
                <w:color w:val="000000"/>
                <w:szCs w:val="21"/>
              </w:rPr>
              <w:t>2010年</w:t>
            </w:r>
          </w:p>
        </w:tc>
        <w:tc>
          <w:tcPr>
            <w:tcW w:w="792" w:type="pct"/>
            <w:vMerge w:val="restart"/>
            <w:tcBorders>
              <w:top w:val="single" w:color="4F81BD" w:sz="8" w:space="0"/>
              <w:left w:val="dotted" w:color="auto" w:sz="6" w:space="0"/>
              <w:right w:val="single" w:color="4F81BD" w:sz="8" w:space="0"/>
            </w:tcBorders>
            <w:shd w:val="clear" w:color="auto" w:fill="FFFFFF"/>
            <w:vAlign w:val="center"/>
          </w:tcPr>
          <w:p>
            <w:pPr>
              <w:spacing w:line="400" w:lineRule="exact"/>
              <w:jc w:val="center"/>
              <w:rPr>
                <w:rFonts w:ascii="Times New Roman" w:hAnsi="Times New Roman"/>
                <w:color w:val="000000"/>
              </w:rPr>
            </w:pPr>
            <w:r>
              <w:rPr>
                <w:rFonts w:ascii="Times New Roman" w:hAnsi="Times New Roman"/>
                <w:color w:val="000000"/>
              </w:rPr>
              <w:t>772</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750" w:type="pct"/>
            <w:vMerge w:val="continue"/>
            <w:tcBorders>
              <w:left w:val="single" w:color="4F81BD" w:sz="8" w:space="0"/>
              <w:right w:val="dotted" w:color="auto" w:sz="6" w:space="0"/>
            </w:tcBorders>
            <w:shd w:val="clear" w:color="auto" w:fill="FFFFFF"/>
            <w:vAlign w:val="center"/>
          </w:tcPr>
          <w:p>
            <w:pPr>
              <w:spacing w:line="400" w:lineRule="exact"/>
              <w:jc w:val="center"/>
              <w:rPr>
                <w:color w:val="000000"/>
              </w:rPr>
            </w:pPr>
          </w:p>
        </w:tc>
        <w:tc>
          <w:tcPr>
            <w:tcW w:w="811" w:type="pct"/>
            <w:vMerge w:val="continue"/>
            <w:tcBorders>
              <w:left w:val="dotted" w:color="auto" w:sz="6" w:space="0"/>
              <w:right w:val="dotted" w:color="auto" w:sz="6" w:space="0"/>
            </w:tcBorders>
            <w:shd w:val="clear" w:color="auto" w:fill="FFFFFF"/>
            <w:vAlign w:val="center"/>
          </w:tcPr>
          <w:p>
            <w:pPr>
              <w:spacing w:line="400" w:lineRule="exact"/>
              <w:jc w:val="center"/>
              <w:rPr>
                <w:color w:val="000000"/>
              </w:rPr>
            </w:pPr>
          </w:p>
        </w:tc>
        <w:tc>
          <w:tcPr>
            <w:tcW w:w="450" w:type="pct"/>
            <w:vMerge w:val="continue"/>
            <w:tcBorders>
              <w:left w:val="dotted" w:color="auto" w:sz="6" w:space="0"/>
              <w:right w:val="dotted" w:color="auto" w:sz="6" w:space="0"/>
            </w:tcBorders>
            <w:shd w:val="clear" w:color="auto" w:fill="FFFFFF"/>
            <w:vAlign w:val="center"/>
          </w:tcPr>
          <w:p>
            <w:pPr>
              <w:spacing w:line="400" w:lineRule="exact"/>
              <w:jc w:val="center"/>
              <w:rPr>
                <w:color w:val="000000"/>
              </w:rPr>
            </w:pPr>
          </w:p>
        </w:tc>
        <w:tc>
          <w:tcPr>
            <w:tcW w:w="1305"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ascii="Times New Roman" w:hAnsi="Times New Roman" w:eastAsia="楷体"/>
                <w:color w:val="000000"/>
                <w:szCs w:val="21"/>
              </w:rPr>
              <w:t>上海市属高校应用型本科试点专业</w:t>
            </w:r>
          </w:p>
        </w:tc>
        <w:tc>
          <w:tcPr>
            <w:tcW w:w="892"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ascii="Times New Roman" w:hAnsi="Times New Roman" w:eastAsia="楷体"/>
                <w:color w:val="000000"/>
                <w:szCs w:val="21"/>
              </w:rPr>
              <w:t>2016年（2019年验收）</w:t>
            </w:r>
          </w:p>
        </w:tc>
        <w:tc>
          <w:tcPr>
            <w:tcW w:w="792" w:type="pct"/>
            <w:vMerge w:val="continue"/>
            <w:tcBorders>
              <w:left w:val="dotted" w:color="auto" w:sz="6" w:space="0"/>
              <w:right w:val="single" w:color="4F81BD" w:sz="8" w:space="0"/>
            </w:tcBorders>
            <w:shd w:val="clear" w:color="auto" w:fill="FFFFFF"/>
            <w:vAlign w:val="center"/>
          </w:tcPr>
          <w:p>
            <w:pPr>
              <w:spacing w:line="400" w:lineRule="exact"/>
              <w:jc w:val="center"/>
              <w:rPr>
                <w:color w:val="000000"/>
              </w:rPr>
            </w:pP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750" w:type="pct"/>
            <w:vMerge w:val="continue"/>
            <w:tcBorders>
              <w:left w:val="single" w:color="4F81BD" w:sz="8" w:space="0"/>
              <w:bottom w:val="single" w:color="4F81BD" w:sz="8" w:space="0"/>
              <w:right w:val="dotted" w:color="auto" w:sz="6" w:space="0"/>
            </w:tcBorders>
            <w:shd w:val="clear" w:color="auto" w:fill="FFFFFF"/>
            <w:vAlign w:val="center"/>
          </w:tcPr>
          <w:p>
            <w:pPr>
              <w:spacing w:line="400" w:lineRule="exact"/>
              <w:jc w:val="center"/>
              <w:rPr>
                <w:color w:val="000000"/>
              </w:rPr>
            </w:pPr>
          </w:p>
        </w:tc>
        <w:tc>
          <w:tcPr>
            <w:tcW w:w="811" w:type="pct"/>
            <w:vMerge w:val="continue"/>
            <w:tcBorders>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p>
        </w:tc>
        <w:tc>
          <w:tcPr>
            <w:tcW w:w="450" w:type="pct"/>
            <w:vMerge w:val="continue"/>
            <w:tcBorders>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p>
        </w:tc>
        <w:tc>
          <w:tcPr>
            <w:tcW w:w="1305"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ascii="Times New Roman" w:hAnsi="Times New Roman" w:eastAsia="楷体"/>
                <w:color w:val="000000"/>
                <w:szCs w:val="21"/>
              </w:rPr>
              <w:t>上海市一流本科专业建设点</w:t>
            </w:r>
          </w:p>
        </w:tc>
        <w:tc>
          <w:tcPr>
            <w:tcW w:w="892"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ascii="Times New Roman" w:hAnsi="Times New Roman" w:eastAsia="楷体"/>
                <w:color w:val="000000"/>
                <w:szCs w:val="21"/>
              </w:rPr>
              <w:t>2020年</w:t>
            </w:r>
          </w:p>
        </w:tc>
        <w:tc>
          <w:tcPr>
            <w:tcW w:w="792" w:type="pct"/>
            <w:vMerge w:val="continue"/>
            <w:tcBorders>
              <w:left w:val="dotted" w:color="auto" w:sz="6" w:space="0"/>
              <w:bottom w:val="single" w:color="4F81BD" w:sz="8" w:space="0"/>
              <w:right w:val="single" w:color="4F81BD" w:sz="8" w:space="0"/>
            </w:tcBorders>
            <w:shd w:val="clear" w:color="auto" w:fill="FFFFFF"/>
            <w:vAlign w:val="center"/>
          </w:tcPr>
          <w:p>
            <w:pPr>
              <w:spacing w:line="400" w:lineRule="exact"/>
              <w:jc w:val="center"/>
              <w:rPr>
                <w:color w:val="000000"/>
              </w:rPr>
            </w:pPr>
          </w:p>
        </w:tc>
      </w:tr>
    </w:tbl>
    <w:p>
      <w:pPr>
        <w:pStyle w:val="3"/>
        <w:spacing w:line="400" w:lineRule="exact"/>
      </w:pPr>
      <w:bookmarkStart w:id="2" w:name="_Toc32262"/>
      <w:r>
        <w:rPr>
          <w:rFonts w:hint="eastAsia"/>
        </w:rPr>
        <w:t>（二）专业定位和人才培养目标</w:t>
      </w:r>
      <w:bookmarkEnd w:id="2"/>
    </w:p>
    <w:p>
      <w:pPr>
        <w:widowControl/>
        <w:shd w:val="clear" w:color="auto" w:fill="FFFFFF"/>
        <w:spacing w:line="360" w:lineRule="auto"/>
        <w:ind w:firstLine="482" w:firstLineChars="200"/>
        <w:jc w:val="left"/>
        <w:rPr>
          <w:rFonts w:ascii="黑体" w:hAnsi="黑体" w:eastAsia="黑体"/>
          <w:b/>
          <w:bCs/>
          <w:sz w:val="24"/>
          <w:szCs w:val="24"/>
        </w:rPr>
      </w:pPr>
      <w:r>
        <w:rPr>
          <w:rFonts w:hint="eastAsia" w:ascii="黑体" w:hAnsi="黑体" w:eastAsia="黑体"/>
          <w:b/>
          <w:bCs/>
          <w:sz w:val="24"/>
          <w:szCs w:val="24"/>
        </w:rPr>
        <w:t>1.</w:t>
      </w:r>
      <w:r>
        <w:rPr>
          <w:rFonts w:ascii="黑体" w:hAnsi="黑体" w:eastAsia="黑体"/>
          <w:b/>
          <w:bCs/>
          <w:sz w:val="24"/>
          <w:szCs w:val="24"/>
        </w:rPr>
        <w:t xml:space="preserve"> </w:t>
      </w:r>
      <w:r>
        <w:rPr>
          <w:rFonts w:hint="eastAsia" w:ascii="黑体" w:hAnsi="黑体" w:eastAsia="黑体"/>
          <w:b/>
          <w:bCs/>
          <w:sz w:val="24"/>
          <w:szCs w:val="24"/>
        </w:rPr>
        <w:t>专业定位</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本专业立足于民航产业，紧扣国家发展民航产业以及“航空强国”建设目标，面向全国，主要依托上海航空企业等产学研战略联盟，主动适应民航业对人才的需求，着力于培养面向民航飞行驾驶一线岗位的高素质工程应用型人才。</w:t>
      </w:r>
    </w:p>
    <w:p>
      <w:pPr>
        <w:spacing w:line="360" w:lineRule="auto"/>
        <w:ind w:firstLine="480" w:firstLineChars="200"/>
        <w:rPr>
          <w:rFonts w:ascii="仿宋_GB2312" w:hAnsi="Times New Roman" w:eastAsia="仿宋_GB2312"/>
          <w:bCs/>
          <w:sz w:val="24"/>
        </w:rPr>
      </w:pPr>
      <w:r>
        <w:rPr>
          <w:rFonts w:hint="eastAsia" w:ascii="仿宋_GB2312" w:hAnsi="Times New Roman" w:eastAsia="仿宋_GB2312"/>
          <w:bCs/>
          <w:sz w:val="24"/>
        </w:rPr>
        <w:t>据民航局统计，截止2022年，经教育部批准开办飞行技术本科专业的高等院校共</w:t>
      </w:r>
      <w:r>
        <w:rPr>
          <w:rFonts w:ascii="仿宋_GB2312" w:hAnsi="Times New Roman" w:eastAsia="仿宋_GB2312"/>
          <w:bCs/>
          <w:sz w:val="24"/>
        </w:rPr>
        <w:t>20</w:t>
      </w:r>
      <w:r>
        <w:rPr>
          <w:rFonts w:hint="eastAsia" w:ascii="仿宋_GB2312" w:hAnsi="Times New Roman" w:eastAsia="仿宋_GB2312"/>
          <w:bCs/>
          <w:sz w:val="24"/>
        </w:rPr>
        <w:t>所。在最新公布的2022年度飞行技术专业本科专业排行榜（高考升学网等），中国民航大学排行第一，中国民用航空飞行学院、南京航空航天大学，占据第二、第三名，我校列全国第七名。</w:t>
      </w:r>
    </w:p>
    <w:p>
      <w:pPr>
        <w:spacing w:line="360" w:lineRule="auto"/>
        <w:ind w:firstLine="480" w:firstLineChars="200"/>
        <w:rPr>
          <w:rFonts w:ascii="仿宋_GB2312" w:eastAsia="仿宋_GB2312"/>
          <w:sz w:val="24"/>
          <w:szCs w:val="24"/>
        </w:rPr>
      </w:pPr>
      <w:r>
        <w:rPr>
          <w:rFonts w:hint="eastAsia" w:ascii="仿宋_GB2312" w:hAnsi="Times New Roman" w:eastAsia="仿宋_GB2312"/>
          <w:bCs/>
          <w:sz w:val="24"/>
        </w:rPr>
        <w:t>结合目前飞行技术专业建设总体情况，目前国内开办飞行技术专业兄弟院校仅中国民航飞行学院获批国家级一流本科专业建设点，我校获上海市一流本科专业建设点。</w:t>
      </w:r>
    </w:p>
    <w:p>
      <w:pPr>
        <w:widowControl/>
        <w:spacing w:line="360" w:lineRule="auto"/>
        <w:ind w:firstLine="480" w:firstLineChars="200"/>
        <w:rPr>
          <w:rFonts w:ascii="仿宋_GB2312" w:hAnsi="仿宋_GB2312" w:eastAsia="仿宋_GB2312"/>
          <w:sz w:val="24"/>
          <w:szCs w:val="24"/>
        </w:rPr>
      </w:pPr>
      <w:r>
        <w:rPr>
          <w:rFonts w:hint="eastAsia" w:ascii="仿宋_GB2312" w:hAnsi="仿宋_GB2312" w:eastAsia="仿宋_GB2312"/>
          <w:kern w:val="0"/>
          <w:sz w:val="24"/>
          <w:szCs w:val="24"/>
        </w:rPr>
        <w:t>本专业将秉持</w:t>
      </w:r>
      <w:r>
        <w:rPr>
          <w:rFonts w:hint="eastAsia" w:ascii="仿宋_GB2312" w:hAnsi="仿宋_GB2312" w:eastAsia="仿宋_GB2312"/>
          <w:sz w:val="24"/>
          <w:szCs w:val="24"/>
        </w:rPr>
        <w:t>“立德树人为引领、以建设一流专业、一流课程为抓手、以全面提升应用型人才培养质量为核心”，围绕“飞行技术一流本科应用型人才培养”，进一步开拓理念、打造品牌、彰显成效、引领示范。主要工作思路及举措如下:</w:t>
      </w:r>
    </w:p>
    <w:p>
      <w:pPr>
        <w:spacing w:line="360" w:lineRule="auto"/>
        <w:rPr>
          <w:rFonts w:ascii="仿宋_GB2312" w:hAnsi="仿宋_GB2312" w:eastAsia="仿宋_GB2312"/>
          <w:b/>
          <w:bCs/>
          <w:sz w:val="24"/>
          <w:szCs w:val="24"/>
        </w:rPr>
      </w:pPr>
      <w:bookmarkStart w:id="3" w:name="_Toc533013846"/>
      <w:r>
        <w:rPr>
          <w:rFonts w:hint="eastAsia" w:ascii="仿宋_GB2312" w:hAnsi="仿宋_GB2312" w:eastAsia="仿宋_GB2312"/>
          <w:b/>
          <w:bCs/>
          <w:sz w:val="24"/>
          <w:szCs w:val="24"/>
        </w:rPr>
        <w:t xml:space="preserve">    （1</w:t>
      </w:r>
      <w:bookmarkEnd w:id="3"/>
      <w:r>
        <w:rPr>
          <w:rFonts w:hint="eastAsia" w:ascii="仿宋_GB2312" w:hAnsi="仿宋_GB2312" w:eastAsia="仿宋_GB2312"/>
          <w:b/>
          <w:bCs/>
          <w:sz w:val="24"/>
          <w:szCs w:val="24"/>
        </w:rPr>
        <w:t>）以一流专业建设为契机，打造可持续发展专业品牌</w:t>
      </w:r>
    </w:p>
    <w:p>
      <w:pPr>
        <w:tabs>
          <w:tab w:val="left" w:pos="4575"/>
        </w:tabs>
        <w:spacing w:line="360" w:lineRule="auto"/>
        <w:ind w:firstLine="480" w:firstLineChars="200"/>
        <w:jc w:val="left"/>
        <w:rPr>
          <w:rFonts w:ascii="仿宋_GB2312" w:hAnsi="仿宋_GB2312" w:eastAsia="仿宋_GB2312"/>
          <w:bCs/>
          <w:sz w:val="24"/>
          <w:szCs w:val="24"/>
        </w:rPr>
      </w:pPr>
      <w:r>
        <w:rPr>
          <w:rFonts w:hint="eastAsia" w:ascii="仿宋_GB2312" w:hAnsi="仿宋_GB2312" w:eastAsia="仿宋_GB2312"/>
          <w:sz w:val="24"/>
          <w:szCs w:val="24"/>
        </w:rPr>
        <w:t>本专业已于2020年获批上海市一流专业建设点，学校已获得国际航空认证委员会AABI会员资格，专业已邀请专业认证专家进校指</w:t>
      </w:r>
      <w:r>
        <w:rPr>
          <w:rFonts w:hint="eastAsia" w:ascii="仿宋_GB2312" w:hAnsi="仿宋_GB2312" w:eastAsia="仿宋_GB2312"/>
          <w:bCs/>
          <w:sz w:val="24"/>
          <w:szCs w:val="24"/>
        </w:rPr>
        <w:t>导、梳理课程与国际专业认证标准的知识能力矩阵关系，优化培养计划、构建课程体系、完善质量保障体系，以全面推进专业国际化建设。</w:t>
      </w:r>
    </w:p>
    <w:p>
      <w:pPr>
        <w:spacing w:line="360" w:lineRule="auto"/>
        <w:rPr>
          <w:rFonts w:ascii="仿宋_GB2312" w:hAnsi="仿宋_GB2312" w:eastAsia="仿宋_GB2312"/>
          <w:b/>
          <w:bCs/>
          <w:sz w:val="24"/>
          <w:szCs w:val="24"/>
        </w:rPr>
      </w:pPr>
      <w:r>
        <w:rPr>
          <w:rFonts w:hint="eastAsia" w:ascii="仿宋_GB2312" w:hAnsi="仿宋_GB2312" w:eastAsia="仿宋_GB2312"/>
          <w:b/>
          <w:bCs/>
          <w:sz w:val="24"/>
          <w:szCs w:val="24"/>
        </w:rPr>
        <w:t xml:space="preserve">    （2）以一流人才培养为焦点，形成可引领示范课程群</w:t>
      </w:r>
    </w:p>
    <w:p>
      <w:pPr>
        <w:spacing w:line="360" w:lineRule="auto"/>
        <w:ind w:firstLine="573"/>
        <w:rPr>
          <w:rFonts w:ascii="仿宋_GB2312" w:hAnsi="仿宋_GB2312" w:eastAsia="仿宋_GB2312"/>
          <w:kern w:val="0"/>
          <w:sz w:val="24"/>
          <w:szCs w:val="24"/>
        </w:rPr>
      </w:pPr>
      <w:r>
        <w:rPr>
          <w:rFonts w:hint="eastAsia" w:ascii="仿宋_GB2312" w:hAnsi="仿宋_GB2312" w:eastAsia="仿宋_GB2312"/>
          <w:kern w:val="0"/>
          <w:sz w:val="24"/>
          <w:szCs w:val="24"/>
        </w:rPr>
        <w:t>以学生发展、学生学习、学习效果为中心，打造以国家级一流课程为引领示范；市一流、市重点课程为影响辐射；校金课、校精品课程为重点培育的多梯度一流品牌课程群。全面推进教学新理念新举措，实现育人新发展与新突破。</w:t>
      </w:r>
      <w:r>
        <w:rPr>
          <w:rFonts w:hint="eastAsia" w:ascii="仿宋_GB2312" w:hAnsi="仿宋_GB2312" w:eastAsia="仿宋_GB2312"/>
          <w:sz w:val="24"/>
          <w:szCs w:val="24"/>
        </w:rPr>
        <w:t>主要可践行的举措包括以“竞赛激励式教学”实现“动态翻转课堂”；以“名师引领”打造“金牌课程群”等。</w:t>
      </w:r>
    </w:p>
    <w:p>
      <w:pPr>
        <w:spacing w:line="360" w:lineRule="auto"/>
        <w:ind w:firstLine="482" w:firstLineChars="200"/>
        <w:rPr>
          <w:rFonts w:ascii="仿宋_GB2312" w:hAnsi="仿宋_GB2312" w:eastAsia="仿宋_GB2312"/>
          <w:b/>
          <w:bCs/>
          <w:sz w:val="24"/>
          <w:szCs w:val="24"/>
        </w:rPr>
      </w:pPr>
      <w:r>
        <w:rPr>
          <w:rFonts w:hint="eastAsia" w:ascii="仿宋_GB2312" w:hAnsi="仿宋_GB2312" w:eastAsia="仿宋_GB2312"/>
          <w:b/>
          <w:bCs/>
          <w:sz w:val="24"/>
          <w:szCs w:val="24"/>
        </w:rPr>
        <w:t>（3）</w:t>
      </w:r>
      <w:r>
        <w:rPr>
          <w:rFonts w:hint="eastAsia" w:ascii="仿宋_GB2312" w:hAnsi="仿宋_GB2312" w:eastAsia="仿宋_GB2312"/>
          <w:b/>
          <w:bCs/>
          <w:kern w:val="44"/>
          <w:sz w:val="24"/>
          <w:szCs w:val="24"/>
        </w:rPr>
        <w:t>以国家级中心+项目为基石，实现高水平实践教学范式</w:t>
      </w:r>
    </w:p>
    <w:p>
      <w:pPr>
        <w:spacing w:line="360" w:lineRule="auto"/>
        <w:ind w:firstLine="480" w:firstLineChars="200"/>
        <w:rPr>
          <w:rFonts w:ascii="仿宋_GB2312" w:hAnsi="仿宋_GB2312" w:eastAsia="仿宋_GB2312"/>
          <w:sz w:val="24"/>
          <w:szCs w:val="24"/>
        </w:rPr>
      </w:pPr>
      <w:r>
        <w:rPr>
          <w:rFonts w:hint="eastAsia" w:ascii="仿宋_GB2312" w:hAnsi="仿宋_GB2312" w:eastAsia="仿宋_GB2312"/>
          <w:sz w:val="24"/>
          <w:szCs w:val="24"/>
        </w:rPr>
        <w:t>围绕“重视学生知识、能力、素质协调发展，着力提高学生的工程意识、工程素质和工程实践能力，强化创新能力培养”为中心指导思想，</w:t>
      </w:r>
      <w:r>
        <w:rPr>
          <w:rFonts w:hint="eastAsia" w:ascii="仿宋_GB2312" w:hAnsi="仿宋_GB2312" w:eastAsia="仿宋_GB2312"/>
          <w:kern w:val="0"/>
          <w:sz w:val="24"/>
          <w:szCs w:val="24"/>
        </w:rPr>
        <w:t>促进学生学思结合、知行统一。以国家级实践教学中心及实践项目为基石，打造虚实结合、特色鲜明的高水平实践育人平台，有效提高学生民航工程意识、机组协同素质和飞行实践能力，强化应用型创新实践能力培养，实现“中心为舞台，项目为节目”的高水平实践教学范式双突破。</w:t>
      </w:r>
    </w:p>
    <w:p>
      <w:pPr>
        <w:spacing w:line="360" w:lineRule="auto"/>
        <w:ind w:firstLine="482" w:firstLineChars="200"/>
        <w:rPr>
          <w:rFonts w:ascii="仿宋_GB2312" w:hAnsi="仿宋_GB2312" w:eastAsia="仿宋_GB2312"/>
          <w:b/>
          <w:bCs/>
          <w:sz w:val="24"/>
          <w:szCs w:val="24"/>
        </w:rPr>
      </w:pPr>
      <w:r>
        <w:rPr>
          <w:rFonts w:hint="eastAsia" w:ascii="仿宋_GB2312" w:hAnsi="仿宋_GB2312" w:eastAsia="仿宋_GB2312"/>
          <w:b/>
          <w:bCs/>
          <w:sz w:val="24"/>
          <w:szCs w:val="24"/>
        </w:rPr>
        <w:t>（4）</w:t>
      </w:r>
      <w:r>
        <w:rPr>
          <w:rFonts w:hint="eastAsia" w:ascii="仿宋_GB2312" w:hAnsi="仿宋_GB2312" w:eastAsia="仿宋_GB2312"/>
          <w:b/>
          <w:bCs/>
          <w:kern w:val="44"/>
          <w:sz w:val="24"/>
          <w:szCs w:val="24"/>
        </w:rPr>
        <w:t>以现有建设成效为出发点，服务社会反哺企业影响行业</w:t>
      </w:r>
    </w:p>
    <w:p>
      <w:pPr>
        <w:spacing w:line="360" w:lineRule="auto"/>
        <w:ind w:firstLine="480" w:firstLineChars="200"/>
        <w:rPr>
          <w:rFonts w:ascii="仿宋_GB2312" w:hAnsi="仿宋_GB2312" w:eastAsia="仿宋_GB2312"/>
          <w:sz w:val="24"/>
          <w:szCs w:val="24"/>
        </w:rPr>
      </w:pPr>
      <w:r>
        <w:rPr>
          <w:rFonts w:hint="eastAsia" w:ascii="仿宋_GB2312" w:hAnsi="仿宋_GB2312" w:eastAsia="仿宋_GB2312"/>
          <w:kern w:val="0"/>
          <w:sz w:val="24"/>
          <w:szCs w:val="24"/>
        </w:rPr>
        <w:t>以发挥民航专业建设和应用型人才培养引领示范与辐射作用为专业发展导向，以在线课程建设普及服务社会、以民航培训服务反哺企业、以模拟器研制重大突破影响行业。</w:t>
      </w:r>
    </w:p>
    <w:p>
      <w:pPr>
        <w:widowControl/>
        <w:shd w:val="clear" w:color="auto" w:fill="FFFFFF"/>
        <w:spacing w:line="360" w:lineRule="auto"/>
        <w:ind w:firstLine="482" w:firstLineChars="200"/>
        <w:jc w:val="left"/>
        <w:rPr>
          <w:rFonts w:ascii="黑体" w:hAnsi="黑体" w:eastAsia="黑体"/>
          <w:b/>
          <w:bCs/>
          <w:sz w:val="24"/>
          <w:szCs w:val="24"/>
        </w:rPr>
      </w:pPr>
      <w:r>
        <w:rPr>
          <w:rFonts w:hint="eastAsia" w:ascii="黑体" w:hAnsi="黑体" w:eastAsia="黑体"/>
          <w:b/>
          <w:bCs/>
          <w:sz w:val="24"/>
          <w:szCs w:val="24"/>
        </w:rPr>
        <w:t>2. 人才培养目标</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本专业培养具有人文素养、社会责任感，能够在航空运输实践中发扬崇尚劳动、无私奉献的精神，理解并遵守民航职业道德和规范，树立“航空报国”志向；具有国际视野，具备较强的团队协作能力和决断处置能力；具有扎实的飞行规章、飞行原理、飞行操纵、运行管理等专业知识；具备熟练的飞机驾驶技术和飞行运行管理能力；符合国际民航运输岗位驾驶员标准，能够在航空公司从事航线运输和运行管理等方面工作，能担当民族复兴大任的高素质工程应用型人才。</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航空运输学院（飞行学院）全面贯彻党的教育方针,落实立德树人根本任务，根据国家“十四五”民用航空发展规划以及学校教育发展定位，制定了学院“十四五”教育事业发展规划纲要；在校内外专家充分论证基础上，修订、形成了新一轮飞行技术专业人才培养目标。</w:t>
      </w:r>
    </w:p>
    <w:p>
      <w:pPr>
        <w:widowControl/>
        <w:shd w:val="clear" w:color="auto" w:fill="FFFFFF"/>
        <w:spacing w:line="360" w:lineRule="auto"/>
        <w:ind w:firstLine="482" w:firstLineChars="200"/>
        <w:jc w:val="left"/>
        <w:rPr>
          <w:rFonts w:ascii="黑体" w:hAnsi="黑体" w:eastAsia="黑体"/>
          <w:b/>
          <w:bCs/>
          <w:sz w:val="24"/>
          <w:szCs w:val="24"/>
        </w:rPr>
      </w:pPr>
      <w:r>
        <w:rPr>
          <w:rFonts w:hint="eastAsia" w:ascii="黑体" w:hAnsi="黑体" w:eastAsia="黑体"/>
          <w:b/>
          <w:bCs/>
          <w:sz w:val="24"/>
          <w:szCs w:val="24"/>
        </w:rPr>
        <w:t>3. 专业教学计划</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2022级仍采用“2.5年制国内理论学习+1.5年制海内外航校飞行训练”的培养方案。培养计划修读学分共计167学分，其中包括：通识教育课程（53学分）、学科基础平台课程（50学分）、专业课程（26学分）、集中实践教学环节（34学分）和第二课堂（4学分）。专业培养计划概况见表2。</w:t>
      </w:r>
    </w:p>
    <w:p>
      <w:pPr>
        <w:widowControl/>
        <w:shd w:val="clear" w:color="auto" w:fill="FFFFFF"/>
        <w:spacing w:before="156" w:beforeLines="50" w:line="400" w:lineRule="exact"/>
        <w:ind w:firstLine="482"/>
        <w:jc w:val="center"/>
        <w:rPr>
          <w:rFonts w:ascii="黑体" w:hAnsi="黑体" w:eastAsia="黑体" w:cs="黑体"/>
          <w:b/>
          <w:bCs/>
          <w:color w:val="333333"/>
          <w:kern w:val="0"/>
          <w:sz w:val="24"/>
          <w:szCs w:val="24"/>
        </w:rPr>
      </w:pPr>
      <w:r>
        <w:rPr>
          <w:rFonts w:hint="eastAsia" w:ascii="黑体" w:hAnsi="黑体" w:eastAsia="黑体" w:cs="黑体"/>
          <w:b/>
          <w:bCs/>
          <w:color w:val="333333"/>
          <w:kern w:val="0"/>
          <w:sz w:val="24"/>
          <w:szCs w:val="24"/>
        </w:rPr>
        <w:t>表2 专业培养计划概况（时点）</w:t>
      </w:r>
    </w:p>
    <w:tbl>
      <w:tblPr>
        <w:tblStyle w:val="10"/>
        <w:tblW w:w="5059" w:type="pct"/>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autofit"/>
        <w:tblCellMar>
          <w:top w:w="15" w:type="dxa"/>
          <w:left w:w="15" w:type="dxa"/>
          <w:bottom w:w="15" w:type="dxa"/>
          <w:right w:w="15" w:type="dxa"/>
        </w:tblCellMar>
      </w:tblPr>
      <w:tblGrid>
        <w:gridCol w:w="604"/>
        <w:gridCol w:w="485"/>
        <w:gridCol w:w="724"/>
        <w:gridCol w:w="967"/>
        <w:gridCol w:w="1087"/>
        <w:gridCol w:w="844"/>
        <w:gridCol w:w="934"/>
        <w:gridCol w:w="1281"/>
        <w:gridCol w:w="108"/>
        <w:gridCol w:w="1400"/>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840" w:hRule="atLeast"/>
          <w:tblHeader/>
        </w:trPr>
        <w:tc>
          <w:tcPr>
            <w:tcW w:w="358" w:type="pct"/>
            <w:tcBorders>
              <w:top w:val="single" w:color="4F81BD" w:sz="8" w:space="0"/>
              <w:left w:val="single" w:color="4F81BD" w:sz="8"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总学 时</w:t>
            </w:r>
          </w:p>
        </w:tc>
        <w:tc>
          <w:tcPr>
            <w:tcW w:w="287"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总学分</w:t>
            </w:r>
          </w:p>
        </w:tc>
        <w:tc>
          <w:tcPr>
            <w:tcW w:w="429"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必修课学分</w:t>
            </w:r>
          </w:p>
        </w:tc>
        <w:tc>
          <w:tcPr>
            <w:tcW w:w="573"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选修课 学分</w:t>
            </w:r>
          </w:p>
        </w:tc>
        <w:tc>
          <w:tcPr>
            <w:tcW w:w="644"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集中实践环节学分</w:t>
            </w:r>
          </w:p>
        </w:tc>
        <w:tc>
          <w:tcPr>
            <w:tcW w:w="500"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课内教学学分</w:t>
            </w:r>
          </w:p>
        </w:tc>
        <w:tc>
          <w:tcPr>
            <w:tcW w:w="553"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实验教学学分</w:t>
            </w:r>
          </w:p>
        </w:tc>
        <w:tc>
          <w:tcPr>
            <w:tcW w:w="823" w:type="pct"/>
            <w:gridSpan w:val="2"/>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课外科技活动学分</w:t>
            </w:r>
          </w:p>
        </w:tc>
        <w:tc>
          <w:tcPr>
            <w:tcW w:w="829" w:type="pct"/>
            <w:tcBorders>
              <w:top w:val="single" w:color="4F81BD" w:sz="8" w:space="0"/>
              <w:left w:val="dotted" w:color="auto" w:sz="6" w:space="0"/>
              <w:bottom w:val="single" w:color="4F81BD" w:sz="8" w:space="0"/>
              <w:right w:val="single" w:color="4F81BD" w:sz="8" w:space="0"/>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实践教学学分比例（%）</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265" w:hRule="atLeast"/>
        </w:trPr>
        <w:tc>
          <w:tcPr>
            <w:tcW w:w="358" w:type="pct"/>
            <w:tcBorders>
              <w:top w:val="single" w:color="4F81BD" w:sz="8" w:space="0"/>
              <w:left w:val="single" w:color="4F81BD" w:sz="8" w:space="0"/>
              <w:bottom w:val="single" w:color="4F81BD" w:sz="8" w:space="0"/>
              <w:right w:val="dotted" w:color="auto" w:sz="6" w:space="0"/>
            </w:tcBorders>
            <w:shd w:val="clear" w:color="auto" w:fill="FFFFFF"/>
            <w:vAlign w:val="center"/>
          </w:tcPr>
          <w:p>
            <w:pPr>
              <w:spacing w:line="400" w:lineRule="exact"/>
              <w:jc w:val="center"/>
              <w:rPr>
                <w:color w:val="000000"/>
              </w:rPr>
            </w:pPr>
            <w:r>
              <w:rPr>
                <w:color w:val="000000"/>
              </w:rPr>
              <w:t>3324</w:t>
            </w:r>
          </w:p>
        </w:tc>
        <w:tc>
          <w:tcPr>
            <w:tcW w:w="287"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hint="eastAsia"/>
                <w:color w:val="000000"/>
              </w:rPr>
              <w:t>1</w:t>
            </w:r>
            <w:r>
              <w:rPr>
                <w:color w:val="000000"/>
              </w:rPr>
              <w:t>67</w:t>
            </w:r>
          </w:p>
        </w:tc>
        <w:tc>
          <w:tcPr>
            <w:tcW w:w="429"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hint="eastAsia"/>
                <w:color w:val="000000"/>
              </w:rPr>
              <w:t>1</w:t>
            </w:r>
            <w:r>
              <w:rPr>
                <w:color w:val="000000"/>
              </w:rPr>
              <w:t>49</w:t>
            </w:r>
          </w:p>
        </w:tc>
        <w:tc>
          <w:tcPr>
            <w:tcW w:w="573"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hint="eastAsia"/>
                <w:color w:val="000000"/>
              </w:rPr>
              <w:t>1</w:t>
            </w:r>
            <w:r>
              <w:rPr>
                <w:color w:val="000000"/>
              </w:rPr>
              <w:t>8</w:t>
            </w:r>
          </w:p>
        </w:tc>
        <w:tc>
          <w:tcPr>
            <w:tcW w:w="644"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hint="eastAsia"/>
                <w:color w:val="000000"/>
              </w:rPr>
              <w:t>3</w:t>
            </w:r>
            <w:r>
              <w:rPr>
                <w:color w:val="000000"/>
              </w:rPr>
              <w:t>4</w:t>
            </w:r>
          </w:p>
        </w:tc>
        <w:tc>
          <w:tcPr>
            <w:tcW w:w="500"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hint="eastAsia"/>
                <w:color w:val="000000"/>
              </w:rPr>
              <w:t>1</w:t>
            </w:r>
            <w:r>
              <w:rPr>
                <w:color w:val="000000"/>
              </w:rPr>
              <w:t>14.25</w:t>
            </w:r>
          </w:p>
        </w:tc>
        <w:tc>
          <w:tcPr>
            <w:tcW w:w="553"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hint="eastAsia"/>
                <w:color w:val="000000"/>
              </w:rPr>
              <w:t>1</w:t>
            </w:r>
            <w:r>
              <w:rPr>
                <w:color w:val="000000"/>
              </w:rPr>
              <w:t>4.75</w:t>
            </w:r>
          </w:p>
        </w:tc>
        <w:tc>
          <w:tcPr>
            <w:tcW w:w="759"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color w:val="000000"/>
              </w:rPr>
            </w:pPr>
            <w:r>
              <w:rPr>
                <w:rFonts w:hint="eastAsia"/>
                <w:color w:val="000000"/>
              </w:rPr>
              <w:t>4</w:t>
            </w:r>
          </w:p>
        </w:tc>
        <w:tc>
          <w:tcPr>
            <w:tcW w:w="892" w:type="pct"/>
            <w:gridSpan w:val="2"/>
            <w:tcBorders>
              <w:top w:val="single" w:color="4F81BD" w:sz="8" w:space="0"/>
              <w:left w:val="dotted" w:color="auto" w:sz="6" w:space="0"/>
              <w:bottom w:val="single" w:color="4F81BD" w:sz="8" w:space="0"/>
              <w:right w:val="single" w:color="4F81BD" w:sz="8" w:space="0"/>
            </w:tcBorders>
            <w:shd w:val="clear" w:color="auto" w:fill="auto"/>
            <w:vAlign w:val="center"/>
          </w:tcPr>
          <w:p>
            <w:pPr>
              <w:spacing w:line="400" w:lineRule="exact"/>
              <w:jc w:val="center"/>
              <w:rPr>
                <w:color w:val="000000"/>
              </w:rPr>
            </w:pPr>
            <w:r>
              <w:rPr>
                <w:rFonts w:hint="eastAsia"/>
                <w:color w:val="000000"/>
              </w:rPr>
              <w:t>3</w:t>
            </w:r>
            <w:r>
              <w:rPr>
                <w:color w:val="000000"/>
              </w:rPr>
              <w:t>1.6%</w:t>
            </w:r>
          </w:p>
        </w:tc>
      </w:tr>
    </w:tbl>
    <w:p>
      <w:pPr>
        <w:pStyle w:val="2"/>
        <w:spacing w:line="400" w:lineRule="exact"/>
      </w:pPr>
      <w:bookmarkStart w:id="4" w:name="_Toc3098"/>
    </w:p>
    <w:p>
      <w:pPr>
        <w:pStyle w:val="2"/>
        <w:spacing w:line="400" w:lineRule="exact"/>
      </w:pPr>
      <w:r>
        <w:rPr>
          <w:rFonts w:hint="eastAsia"/>
        </w:rPr>
        <w:t>二、专业师资与教学条件</w:t>
      </w:r>
      <w:bookmarkEnd w:id="4"/>
    </w:p>
    <w:p>
      <w:pPr>
        <w:pStyle w:val="3"/>
        <w:spacing w:line="400" w:lineRule="exact"/>
      </w:pPr>
      <w:bookmarkStart w:id="5" w:name="_Toc3402"/>
      <w:r>
        <w:rPr>
          <w:rFonts w:hint="eastAsia"/>
        </w:rPr>
        <w:t>（一）师资队伍</w:t>
      </w:r>
      <w:bookmarkEnd w:id="5"/>
    </w:p>
    <w:p>
      <w:pPr>
        <w:widowControl/>
        <w:shd w:val="clear" w:color="auto" w:fill="FFFFFF"/>
        <w:spacing w:line="360" w:lineRule="auto"/>
        <w:ind w:left="422"/>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1</w:t>
      </w:r>
      <w:r>
        <w:rPr>
          <w:rFonts w:ascii="黑体" w:hAnsi="黑体" w:eastAsia="黑体" w:cs="宋体"/>
          <w:b/>
          <w:bCs/>
          <w:color w:val="333333"/>
          <w:kern w:val="0"/>
          <w:sz w:val="24"/>
          <w:szCs w:val="24"/>
        </w:rPr>
        <w:t xml:space="preserve">. </w:t>
      </w:r>
      <w:r>
        <w:rPr>
          <w:rFonts w:hint="eastAsia" w:ascii="黑体" w:hAnsi="黑体" w:eastAsia="黑体" w:cs="宋体"/>
          <w:b/>
          <w:bCs/>
          <w:color w:val="333333"/>
          <w:kern w:val="0"/>
          <w:sz w:val="24"/>
          <w:szCs w:val="24"/>
        </w:rPr>
        <w:t>专任教师与外聘兼职教师及教学团队</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本专业负责人为何法江教授，现有专任教师</w:t>
      </w:r>
      <w:r>
        <w:rPr>
          <w:rFonts w:ascii="仿宋_GB2312" w:hAnsi="Times New Roman" w:eastAsia="仿宋_GB2312"/>
          <w:sz w:val="24"/>
        </w:rPr>
        <w:t>25</w:t>
      </w:r>
      <w:r>
        <w:rPr>
          <w:rFonts w:hint="eastAsia" w:ascii="仿宋_GB2312" w:hAnsi="Times New Roman" w:eastAsia="仿宋_GB2312"/>
          <w:sz w:val="24"/>
        </w:rPr>
        <w:t>人，其中本专业专职教师</w:t>
      </w:r>
      <w:r>
        <w:rPr>
          <w:rFonts w:ascii="仿宋_GB2312" w:hAnsi="Times New Roman" w:eastAsia="仿宋_GB2312"/>
          <w:sz w:val="24"/>
        </w:rPr>
        <w:t>17</w:t>
      </w:r>
      <w:r>
        <w:rPr>
          <w:rFonts w:hint="eastAsia" w:ascii="仿宋_GB2312" w:hAnsi="Times New Roman" w:eastAsia="仿宋_GB2312"/>
          <w:sz w:val="24"/>
        </w:rPr>
        <w:t>人，校外兼职教师8人。在本专业专职教师中，承担本专业教学任务的教师数</w:t>
      </w:r>
      <w:r>
        <w:rPr>
          <w:rFonts w:ascii="仿宋_GB2312" w:hAnsi="Times New Roman" w:eastAsia="仿宋_GB2312"/>
          <w:sz w:val="24"/>
        </w:rPr>
        <w:t>17</w:t>
      </w:r>
      <w:r>
        <w:rPr>
          <w:rFonts w:hint="eastAsia" w:ascii="仿宋_GB2312" w:hAnsi="Times New Roman" w:eastAsia="仿宋_GB2312"/>
          <w:sz w:val="24"/>
        </w:rPr>
        <w:t>人，教授及其他正高级</w:t>
      </w:r>
      <w:r>
        <w:rPr>
          <w:rFonts w:ascii="仿宋_GB2312" w:hAnsi="Times New Roman" w:eastAsia="仿宋_GB2312"/>
          <w:sz w:val="24"/>
        </w:rPr>
        <w:t>3</w:t>
      </w:r>
      <w:r>
        <w:rPr>
          <w:rFonts w:hint="eastAsia" w:ascii="仿宋_GB2312" w:hAnsi="Times New Roman" w:eastAsia="仿宋_GB2312"/>
          <w:sz w:val="24"/>
        </w:rPr>
        <w:t>人，副教授3人。具有本专业背景的专任教师6人，双师型教师1</w:t>
      </w:r>
      <w:r>
        <w:rPr>
          <w:rFonts w:ascii="仿宋_GB2312" w:hAnsi="Times New Roman" w:eastAsia="仿宋_GB2312"/>
          <w:sz w:val="24"/>
        </w:rPr>
        <w:t>7</w:t>
      </w:r>
      <w:r>
        <w:rPr>
          <w:rFonts w:hint="eastAsia" w:ascii="仿宋_GB2312" w:hAnsi="Times New Roman" w:eastAsia="仿宋_GB2312"/>
          <w:sz w:val="24"/>
        </w:rPr>
        <w:t>人，具有行业背景的专任教师4人。专职教师的师资队伍结构如下：</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① 年龄结构：56岁及以上教师占比6%，46-55岁教师占比2</w:t>
      </w:r>
      <w:r>
        <w:rPr>
          <w:rFonts w:ascii="仿宋_GB2312" w:hAnsi="Times New Roman" w:eastAsia="仿宋_GB2312"/>
          <w:sz w:val="24"/>
        </w:rPr>
        <w:t>3</w:t>
      </w:r>
      <w:r>
        <w:rPr>
          <w:rFonts w:hint="eastAsia" w:ascii="仿宋_GB2312" w:hAnsi="Times New Roman" w:eastAsia="仿宋_GB2312"/>
          <w:sz w:val="24"/>
        </w:rPr>
        <w:t>%，36-45岁教师占比6</w:t>
      </w:r>
      <w:r>
        <w:rPr>
          <w:rFonts w:ascii="仿宋_GB2312" w:hAnsi="Times New Roman" w:eastAsia="仿宋_GB2312"/>
          <w:sz w:val="24"/>
        </w:rPr>
        <w:t>5</w:t>
      </w:r>
      <w:r>
        <w:rPr>
          <w:rFonts w:hint="eastAsia" w:ascii="仿宋_GB2312" w:hAnsi="Times New Roman" w:eastAsia="仿宋_GB2312"/>
          <w:sz w:val="24"/>
        </w:rPr>
        <w:t>%，35岁及以下教师占比6</w:t>
      </w:r>
      <w:r>
        <w:rPr>
          <w:rFonts w:ascii="仿宋_GB2312" w:hAnsi="Times New Roman" w:eastAsia="仿宋_GB2312"/>
          <w:sz w:val="24"/>
        </w:rPr>
        <w:t>%</w:t>
      </w:r>
      <w:r>
        <w:rPr>
          <w:rFonts w:hint="eastAsia" w:ascii="仿宋_GB2312" w:hAnsi="Times New Roman" w:eastAsia="仿宋_GB2312"/>
          <w:sz w:val="24"/>
        </w:rPr>
        <w:t>。</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② 学历结构：具有博士学位教师占比5</w:t>
      </w:r>
      <w:r>
        <w:rPr>
          <w:rFonts w:ascii="仿宋_GB2312" w:hAnsi="Times New Roman" w:eastAsia="仿宋_GB2312"/>
          <w:sz w:val="24"/>
        </w:rPr>
        <w:t>9</w:t>
      </w:r>
      <w:r>
        <w:rPr>
          <w:rFonts w:hint="eastAsia" w:ascii="仿宋_GB2312" w:hAnsi="Times New Roman" w:eastAsia="仿宋_GB2312"/>
          <w:sz w:val="24"/>
        </w:rPr>
        <w:t>%，硕士学位教师占比4</w:t>
      </w:r>
      <w:r>
        <w:rPr>
          <w:rFonts w:ascii="仿宋_GB2312" w:hAnsi="Times New Roman" w:eastAsia="仿宋_GB2312"/>
          <w:sz w:val="24"/>
        </w:rPr>
        <w:t>1</w:t>
      </w:r>
      <w:r>
        <w:rPr>
          <w:rFonts w:hint="eastAsia" w:ascii="仿宋_GB2312" w:hAnsi="Times New Roman" w:eastAsia="仿宋_GB2312"/>
          <w:sz w:val="24"/>
        </w:rPr>
        <w:t>%，整体硕博比达到100%。</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③ 职称结构：高职称教师占比3</w:t>
      </w:r>
      <w:r>
        <w:rPr>
          <w:rFonts w:ascii="仿宋_GB2312" w:hAnsi="Times New Roman" w:eastAsia="仿宋_GB2312"/>
          <w:sz w:val="24"/>
        </w:rPr>
        <w:t>5</w:t>
      </w:r>
      <w:r>
        <w:rPr>
          <w:rFonts w:hint="eastAsia" w:ascii="仿宋_GB2312" w:hAnsi="Times New Roman" w:eastAsia="仿宋_GB2312"/>
          <w:sz w:val="24"/>
        </w:rPr>
        <w:t>%，中级职称教师占比6</w:t>
      </w:r>
      <w:r>
        <w:rPr>
          <w:rFonts w:ascii="仿宋_GB2312" w:hAnsi="Times New Roman" w:eastAsia="仿宋_GB2312"/>
          <w:sz w:val="24"/>
        </w:rPr>
        <w:t>5</w:t>
      </w:r>
      <w:r>
        <w:rPr>
          <w:rFonts w:hint="eastAsia" w:ascii="仿宋_GB2312" w:hAnsi="Times New Roman" w:eastAsia="仿宋_GB2312"/>
          <w:sz w:val="24"/>
        </w:rPr>
        <w:t>%。</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本专业从上海多家航空企业聘请8名具有丰富实践经验的飞行员、飞行管理人员、地面理论教员或其他专业技术人员担任兼职教师，不定期开设专业讲座，承担理论课程教学，带教实践课程（包括实习和毕业论文）等教学任务。</w:t>
      </w:r>
    </w:p>
    <w:p>
      <w:pPr>
        <w:widowControl/>
        <w:shd w:val="clear" w:color="auto" w:fill="FFFFFF"/>
        <w:spacing w:line="360" w:lineRule="auto"/>
        <w:jc w:val="left"/>
        <w:rPr>
          <w:rFonts w:ascii="仿宋_GB2312" w:hAnsi="Times New Roman" w:eastAsia="仿宋_GB2312"/>
          <w:sz w:val="24"/>
        </w:rPr>
      </w:pPr>
      <w:r>
        <w:rPr>
          <w:rFonts w:hint="eastAsia" w:ascii="仿宋_GB2312" w:hAnsi="Times New Roman" w:eastAsia="仿宋_GB2312"/>
          <w:sz w:val="24"/>
        </w:rPr>
        <w:t xml:space="preserve"> </w:t>
      </w:r>
      <w:r>
        <w:rPr>
          <w:rFonts w:ascii="仿宋_GB2312" w:hAnsi="Times New Roman" w:eastAsia="仿宋_GB2312"/>
          <w:sz w:val="24"/>
        </w:rPr>
        <w:t xml:space="preserve">   </w:t>
      </w:r>
      <w:r>
        <w:rPr>
          <w:rFonts w:hint="eastAsia" w:ascii="仿宋_GB2312" w:hAnsi="Times New Roman" w:eastAsia="仿宋_GB2312"/>
          <w:sz w:val="24"/>
        </w:rPr>
        <w:t>本专业专职教师分布在飞行技术、飞行情报、飞行签派、航空飞行器智能制造及健康监测等四支教学团队中，负责飞行技术专业学生的学业指导工作。</w:t>
      </w:r>
    </w:p>
    <w:p>
      <w:pPr>
        <w:widowControl/>
        <w:shd w:val="clear" w:color="auto" w:fill="FFFFFF"/>
        <w:spacing w:before="156" w:beforeLines="50" w:line="360" w:lineRule="auto"/>
        <w:ind w:firstLine="357"/>
        <w:jc w:val="center"/>
        <w:rPr>
          <w:rFonts w:ascii="黑体" w:hAnsi="黑体" w:eastAsia="黑体" w:cs="黑体"/>
          <w:b/>
          <w:bCs/>
          <w:color w:val="333333"/>
          <w:kern w:val="0"/>
          <w:sz w:val="24"/>
          <w:szCs w:val="24"/>
        </w:rPr>
      </w:pPr>
      <w:r>
        <w:rPr>
          <w:rFonts w:hint="eastAsia" w:ascii="黑体" w:hAnsi="黑体" w:eastAsia="黑体" w:cs="黑体"/>
          <w:b/>
          <w:bCs/>
          <w:color w:val="333333"/>
          <w:kern w:val="0"/>
          <w:sz w:val="24"/>
          <w:szCs w:val="24"/>
        </w:rPr>
        <w:t>表3 专任、外聘教师情况（时点）</w:t>
      </w:r>
    </w:p>
    <w:tbl>
      <w:tblPr>
        <w:tblStyle w:val="10"/>
        <w:tblW w:w="4998" w:type="pct"/>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autofit"/>
        <w:tblCellMar>
          <w:top w:w="15" w:type="dxa"/>
          <w:left w:w="15" w:type="dxa"/>
          <w:bottom w:w="15" w:type="dxa"/>
          <w:right w:w="15" w:type="dxa"/>
        </w:tblCellMar>
      </w:tblPr>
      <w:tblGrid>
        <w:gridCol w:w="679"/>
        <w:gridCol w:w="380"/>
        <w:gridCol w:w="390"/>
        <w:gridCol w:w="555"/>
        <w:gridCol w:w="525"/>
        <w:gridCol w:w="425"/>
        <w:gridCol w:w="450"/>
        <w:gridCol w:w="462"/>
        <w:gridCol w:w="498"/>
        <w:gridCol w:w="840"/>
        <w:gridCol w:w="780"/>
        <w:gridCol w:w="662"/>
        <w:gridCol w:w="866"/>
        <w:gridCol w:w="821"/>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50" w:hRule="atLeast"/>
          <w:tblHeader/>
        </w:trPr>
        <w:tc>
          <w:tcPr>
            <w:tcW w:w="407" w:type="pct"/>
            <w:vMerge w:val="restart"/>
            <w:tcBorders>
              <w:top w:val="single" w:color="4F81BD" w:sz="8" w:space="0"/>
              <w:left w:val="single" w:color="4F81BD" w:sz="8" w:space="0"/>
              <w:bottom w:val="single" w:color="4F81BD" w:sz="8" w:space="0"/>
              <w:right w:val="single" w:color="000000" w:themeColor="text1" w:sz="8" w:space="0"/>
            </w:tcBorders>
            <w:shd w:val="clear" w:color="auto" w:fill="4F81BD"/>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专任 教师 数</w:t>
            </w:r>
          </w:p>
        </w:tc>
        <w:tc>
          <w:tcPr>
            <w:tcW w:w="1365" w:type="pct"/>
            <w:gridSpan w:val="5"/>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职称</w:t>
            </w:r>
          </w:p>
        </w:tc>
        <w:tc>
          <w:tcPr>
            <w:tcW w:w="846" w:type="pct"/>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学位</w:t>
            </w:r>
          </w:p>
        </w:tc>
        <w:tc>
          <w:tcPr>
            <w:tcW w:w="188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年龄</w:t>
            </w:r>
          </w:p>
        </w:tc>
        <w:tc>
          <w:tcPr>
            <w:tcW w:w="492"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外聘教师数</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1470" w:hRule="atLeast"/>
          <w:tblHeader/>
        </w:trPr>
        <w:tc>
          <w:tcPr>
            <w:tcW w:w="407" w:type="pct"/>
            <w:vMerge w:val="continue"/>
            <w:tcBorders>
              <w:top w:val="single" w:color="4F81BD" w:sz="8" w:space="0"/>
              <w:left w:val="single" w:color="4F81BD" w:sz="8" w:space="0"/>
              <w:bottom w:val="single" w:color="4F81BD" w:sz="8" w:space="0"/>
              <w:right w:val="single" w:color="000000" w:themeColor="text1" w:sz="8" w:space="0"/>
            </w:tcBorders>
            <w:shd w:val="clear" w:color="auto" w:fill="FFFFFF"/>
            <w:vAlign w:val="center"/>
          </w:tcPr>
          <w:p>
            <w:pPr>
              <w:spacing w:line="400" w:lineRule="exact"/>
              <w:rPr>
                <w:rFonts w:ascii="黑体" w:hAnsi="黑体" w:eastAsia="黑体" w:cs="黑体"/>
                <w:b/>
                <w:bCs/>
                <w:color w:val="FFFFFF" w:themeColor="background1"/>
                <w:sz w:val="24"/>
                <w:szCs w:val="24"/>
                <w14:textFill>
                  <w14:solidFill>
                    <w14:schemeClr w14:val="bg1"/>
                  </w14:solidFill>
                </w14:textFill>
              </w:rPr>
            </w:pPr>
          </w:p>
        </w:tc>
        <w:tc>
          <w:tcPr>
            <w:tcW w:w="228"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教 授</w:t>
            </w:r>
          </w:p>
        </w:tc>
        <w:tc>
          <w:tcPr>
            <w:tcW w:w="234"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副 教 授</w:t>
            </w:r>
          </w:p>
        </w:tc>
        <w:tc>
          <w:tcPr>
            <w:tcW w:w="333"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其他 正高 级</w:t>
            </w:r>
          </w:p>
        </w:tc>
        <w:tc>
          <w:tcPr>
            <w:tcW w:w="315"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其他 副高 级</w:t>
            </w:r>
          </w:p>
        </w:tc>
        <w:tc>
          <w:tcPr>
            <w:tcW w:w="254"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其 他</w:t>
            </w:r>
          </w:p>
        </w:tc>
        <w:tc>
          <w:tcPr>
            <w:tcW w:w="270"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博 士</w:t>
            </w:r>
          </w:p>
        </w:tc>
        <w:tc>
          <w:tcPr>
            <w:tcW w:w="277"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硕 士</w:t>
            </w:r>
          </w:p>
        </w:tc>
        <w:tc>
          <w:tcPr>
            <w:tcW w:w="298"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其 他</w:t>
            </w:r>
          </w:p>
        </w:tc>
        <w:tc>
          <w:tcPr>
            <w:tcW w:w="504"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35岁及以下</w:t>
            </w:r>
          </w:p>
        </w:tc>
        <w:tc>
          <w:tcPr>
            <w:tcW w:w="468"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36-45岁</w:t>
            </w:r>
          </w:p>
        </w:tc>
        <w:tc>
          <w:tcPr>
            <w:tcW w:w="397"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46-55岁</w:t>
            </w:r>
          </w:p>
        </w:tc>
        <w:tc>
          <w:tcPr>
            <w:tcW w:w="519"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56岁及以上</w:t>
            </w:r>
          </w:p>
        </w:tc>
        <w:tc>
          <w:tcPr>
            <w:tcW w:w="492" w:type="pc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695" w:hRule="atLeast"/>
          <w:tblHeader/>
        </w:trPr>
        <w:tc>
          <w:tcPr>
            <w:tcW w:w="407" w:type="pct"/>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2</w:t>
            </w:r>
            <w:r>
              <w:rPr>
                <w:rFonts w:ascii="黑体" w:hAnsi="黑体" w:eastAsia="黑体" w:cs="黑体"/>
                <w:color w:val="000000"/>
                <w:sz w:val="24"/>
                <w:szCs w:val="24"/>
              </w:rPr>
              <w:t>5</w:t>
            </w:r>
          </w:p>
        </w:tc>
        <w:tc>
          <w:tcPr>
            <w:tcW w:w="228"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2</w:t>
            </w:r>
          </w:p>
        </w:tc>
        <w:tc>
          <w:tcPr>
            <w:tcW w:w="234"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3</w:t>
            </w:r>
          </w:p>
        </w:tc>
        <w:tc>
          <w:tcPr>
            <w:tcW w:w="333"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1</w:t>
            </w:r>
          </w:p>
        </w:tc>
        <w:tc>
          <w:tcPr>
            <w:tcW w:w="315"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0</w:t>
            </w:r>
          </w:p>
        </w:tc>
        <w:tc>
          <w:tcPr>
            <w:tcW w:w="254"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1</w:t>
            </w:r>
            <w:r>
              <w:rPr>
                <w:rFonts w:ascii="黑体" w:hAnsi="黑体" w:eastAsia="黑体" w:cs="黑体"/>
                <w:color w:val="000000"/>
                <w:sz w:val="24"/>
                <w:szCs w:val="24"/>
              </w:rPr>
              <w:t>1</w:t>
            </w:r>
          </w:p>
        </w:tc>
        <w:tc>
          <w:tcPr>
            <w:tcW w:w="270"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1</w:t>
            </w:r>
            <w:r>
              <w:rPr>
                <w:rFonts w:ascii="黑体" w:hAnsi="黑体" w:eastAsia="黑体" w:cs="黑体"/>
                <w:color w:val="000000"/>
                <w:sz w:val="24"/>
                <w:szCs w:val="24"/>
              </w:rPr>
              <w:t>1</w:t>
            </w:r>
          </w:p>
        </w:tc>
        <w:tc>
          <w:tcPr>
            <w:tcW w:w="277"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6</w:t>
            </w:r>
          </w:p>
        </w:tc>
        <w:tc>
          <w:tcPr>
            <w:tcW w:w="298"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0</w:t>
            </w:r>
          </w:p>
        </w:tc>
        <w:tc>
          <w:tcPr>
            <w:tcW w:w="504"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1</w:t>
            </w:r>
          </w:p>
        </w:tc>
        <w:tc>
          <w:tcPr>
            <w:tcW w:w="468"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ascii="黑体" w:hAnsi="黑体" w:eastAsia="黑体" w:cs="黑体"/>
                <w:color w:val="000000"/>
                <w:sz w:val="24"/>
                <w:szCs w:val="24"/>
              </w:rPr>
              <w:t>11</w:t>
            </w:r>
          </w:p>
        </w:tc>
        <w:tc>
          <w:tcPr>
            <w:tcW w:w="397"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ascii="黑体" w:hAnsi="黑体" w:eastAsia="黑体" w:cs="黑体"/>
                <w:color w:val="000000"/>
                <w:sz w:val="24"/>
                <w:szCs w:val="24"/>
              </w:rPr>
              <w:t>4</w:t>
            </w:r>
          </w:p>
        </w:tc>
        <w:tc>
          <w:tcPr>
            <w:tcW w:w="519"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1</w:t>
            </w:r>
          </w:p>
        </w:tc>
        <w:tc>
          <w:tcPr>
            <w:tcW w:w="492" w:type="pct"/>
            <w:tcBorders>
              <w:top w:val="single" w:color="000000" w:themeColor="text1" w:sz="8" w:space="0"/>
              <w:left w:val="single" w:color="4F81BD" w:sz="8"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color w:val="000000"/>
                <w:sz w:val="24"/>
                <w:szCs w:val="24"/>
              </w:rPr>
            </w:pPr>
            <w:r>
              <w:rPr>
                <w:rFonts w:hint="eastAsia" w:ascii="黑体" w:hAnsi="黑体" w:eastAsia="黑体" w:cs="黑体"/>
                <w:color w:val="000000"/>
                <w:sz w:val="24"/>
                <w:szCs w:val="24"/>
              </w:rPr>
              <w:t>8</w:t>
            </w:r>
          </w:p>
        </w:tc>
      </w:tr>
    </w:tbl>
    <w:p>
      <w:pPr>
        <w:widowControl/>
        <w:shd w:val="clear" w:color="auto" w:fill="FFFFFF"/>
        <w:spacing w:line="360" w:lineRule="auto"/>
        <w:jc w:val="left"/>
        <w:rPr>
          <w:rFonts w:ascii="宋体" w:hAnsi="宋体" w:cs="宋体"/>
          <w:color w:val="333333"/>
          <w:kern w:val="0"/>
          <w:sz w:val="24"/>
          <w:szCs w:val="24"/>
        </w:rPr>
      </w:pPr>
    </w:p>
    <w:p>
      <w:pPr>
        <w:widowControl/>
        <w:numPr>
          <w:ilvl w:val="0"/>
          <w:numId w:val="1"/>
        </w:numPr>
        <w:shd w:val="clear" w:color="auto" w:fill="FFFFFF"/>
        <w:spacing w:line="360" w:lineRule="auto"/>
        <w:ind w:firstLine="422" w:firstLineChars="175"/>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教师授课情况</w:t>
      </w:r>
    </w:p>
    <w:p>
      <w:pPr>
        <w:spacing w:line="360" w:lineRule="auto"/>
        <w:ind w:firstLine="480" w:firstLineChars="200"/>
        <w:rPr>
          <w:rFonts w:ascii="仿宋_GB2312" w:hAnsi="Times New Roman" w:eastAsia="仿宋_GB2312"/>
          <w:bCs/>
          <w:sz w:val="24"/>
        </w:rPr>
      </w:pPr>
      <w:r>
        <w:rPr>
          <w:rFonts w:hint="eastAsia" w:ascii="仿宋_GB2312" w:hAnsi="Times New Roman" w:eastAsia="仿宋_GB2312"/>
          <w:sz w:val="24"/>
        </w:rPr>
        <w:t>本专业专任教师</w:t>
      </w:r>
      <w:r>
        <w:rPr>
          <w:rFonts w:ascii="仿宋_GB2312" w:hAnsi="Times New Roman" w:eastAsia="仿宋_GB2312"/>
          <w:sz w:val="24"/>
        </w:rPr>
        <w:t>25</w:t>
      </w:r>
      <w:r>
        <w:rPr>
          <w:rFonts w:hint="eastAsia" w:ascii="仿宋_GB2312" w:hAnsi="Times New Roman" w:eastAsia="仿宋_GB2312"/>
          <w:sz w:val="24"/>
        </w:rPr>
        <w:t>人，其中本专业专职教师</w:t>
      </w:r>
      <w:r>
        <w:rPr>
          <w:rFonts w:ascii="仿宋_GB2312" w:hAnsi="Times New Roman" w:eastAsia="仿宋_GB2312"/>
          <w:sz w:val="24"/>
        </w:rPr>
        <w:t>17</w:t>
      </w:r>
      <w:r>
        <w:rPr>
          <w:rFonts w:hint="eastAsia" w:ascii="仿宋_GB2312" w:hAnsi="Times New Roman" w:eastAsia="仿宋_GB2312"/>
          <w:sz w:val="24"/>
        </w:rPr>
        <w:t>人，校外兼职教师8人，在2021-2022学年，全部教师参与教学。每人承担2</w:t>
      </w:r>
      <w:r>
        <w:rPr>
          <w:rFonts w:ascii="仿宋_GB2312" w:hAnsi="Times New Roman" w:eastAsia="仿宋_GB2312"/>
          <w:sz w:val="24"/>
        </w:rPr>
        <w:t>-</w:t>
      </w:r>
      <w:r>
        <w:rPr>
          <w:rFonts w:hint="eastAsia" w:ascii="仿宋_GB2312" w:hAnsi="Times New Roman" w:eastAsia="仿宋_GB2312"/>
          <w:sz w:val="24"/>
        </w:rPr>
        <w:t>6门课程的教学任务，副高及以上职称的专任教师均担任专业课或专业基础课的教学任务。此外，本学院还有8名教师以及校内1名教师为本专业学生进行授课。</w:t>
      </w:r>
      <w:r>
        <w:rPr>
          <w:rFonts w:hint="eastAsia" w:ascii="仿宋_GB2312" w:hAnsi="Times New Roman" w:eastAsia="仿宋_GB2312"/>
          <w:bCs/>
          <w:sz w:val="24"/>
        </w:rPr>
        <w:t>专业授课教师结构及基本授课情况见表4。</w:t>
      </w:r>
    </w:p>
    <w:p>
      <w:pPr>
        <w:widowControl/>
        <w:shd w:val="clear" w:color="auto" w:fill="FFFFFF"/>
        <w:spacing w:before="156" w:beforeLines="50"/>
        <w:ind w:left="368" w:leftChars="175"/>
        <w:jc w:val="center"/>
        <w:rPr>
          <w:rFonts w:ascii="黑体" w:hAnsi="黑体" w:eastAsia="黑体" w:cs="黑体"/>
          <w:b/>
          <w:bCs/>
          <w:color w:val="333333"/>
          <w:kern w:val="0"/>
          <w:sz w:val="24"/>
          <w:szCs w:val="24"/>
        </w:rPr>
      </w:pPr>
      <w:r>
        <w:rPr>
          <w:rFonts w:hint="eastAsia" w:ascii="黑体" w:hAnsi="黑体" w:eastAsia="黑体" w:cs="黑体"/>
          <w:b/>
          <w:bCs/>
          <w:color w:val="333333"/>
          <w:kern w:val="0"/>
          <w:sz w:val="24"/>
          <w:szCs w:val="24"/>
        </w:rPr>
        <w:t>表4 专业授课教师授课情况（时点）</w:t>
      </w:r>
    </w:p>
    <w:tbl>
      <w:tblPr>
        <w:tblStyle w:val="10"/>
        <w:tblW w:w="8383" w:type="dxa"/>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
      <w:tblGrid>
        <w:gridCol w:w="561"/>
        <w:gridCol w:w="806"/>
        <w:gridCol w:w="694"/>
        <w:gridCol w:w="1005"/>
        <w:gridCol w:w="630"/>
        <w:gridCol w:w="1125"/>
        <w:gridCol w:w="480"/>
        <w:gridCol w:w="1170"/>
        <w:gridCol w:w="739"/>
        <w:gridCol w:w="1154"/>
        <w:gridCol w:w="19"/>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gridAfter w:val="1"/>
          <w:wAfter w:w="19" w:type="dxa"/>
          <w:trHeight w:val="450" w:hRule="atLeast"/>
          <w:tblHeader/>
        </w:trPr>
        <w:tc>
          <w:tcPr>
            <w:tcW w:w="136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授课教师</w:t>
            </w:r>
          </w:p>
        </w:tc>
        <w:tc>
          <w:tcPr>
            <w:tcW w:w="1699"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高级职称</w:t>
            </w:r>
          </w:p>
        </w:tc>
        <w:tc>
          <w:tcPr>
            <w:tcW w:w="175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教授</w:t>
            </w:r>
          </w:p>
        </w:tc>
        <w:tc>
          <w:tcPr>
            <w:tcW w:w="165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其中为低年级授课教授</w:t>
            </w:r>
          </w:p>
        </w:tc>
        <w:tc>
          <w:tcPr>
            <w:tcW w:w="1893"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具有硕士、博士学位</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50" w:hRule="atLeast"/>
          <w:tblHeader/>
        </w:trPr>
        <w:tc>
          <w:tcPr>
            <w:tcW w:w="56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总数</w:t>
            </w:r>
          </w:p>
        </w:tc>
        <w:tc>
          <w:tcPr>
            <w:tcW w:w="8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承担课程门数</w:t>
            </w:r>
          </w:p>
        </w:tc>
        <w:tc>
          <w:tcPr>
            <w:tcW w:w="69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数量</w:t>
            </w:r>
          </w:p>
        </w:tc>
        <w:tc>
          <w:tcPr>
            <w:tcW w:w="10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比例（%）</w:t>
            </w:r>
          </w:p>
        </w:tc>
        <w:tc>
          <w:tcPr>
            <w:tcW w:w="63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数量</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比例（%）</w:t>
            </w:r>
          </w:p>
        </w:tc>
        <w:tc>
          <w:tcPr>
            <w:tcW w:w="4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数量</w:t>
            </w:r>
          </w:p>
        </w:tc>
        <w:tc>
          <w:tcPr>
            <w:tcW w:w="117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比例（%）</w:t>
            </w:r>
          </w:p>
        </w:tc>
        <w:tc>
          <w:tcPr>
            <w:tcW w:w="73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数量</w:t>
            </w:r>
          </w:p>
        </w:tc>
        <w:tc>
          <w:tcPr>
            <w:tcW w:w="1173"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比例（%）</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56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Times New Roman" w:hAnsi="Times New Roman"/>
                <w:color w:val="000000"/>
              </w:rPr>
            </w:pPr>
            <w:r>
              <w:rPr>
                <w:rFonts w:ascii="Times New Roman" w:hAnsi="Times New Roman"/>
                <w:color w:val="000000"/>
              </w:rPr>
              <w:t>26</w:t>
            </w:r>
          </w:p>
        </w:tc>
        <w:tc>
          <w:tcPr>
            <w:tcW w:w="8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Times New Roman" w:hAnsi="Times New Roman"/>
                <w:color w:val="000000"/>
              </w:rPr>
            </w:pPr>
            <w:r>
              <w:rPr>
                <w:rFonts w:ascii="Times New Roman" w:hAnsi="Times New Roman"/>
                <w:color w:val="000000"/>
              </w:rPr>
              <w:t>42</w:t>
            </w:r>
          </w:p>
        </w:tc>
        <w:tc>
          <w:tcPr>
            <w:tcW w:w="69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Times New Roman" w:hAnsi="Times New Roman"/>
                <w:color w:val="000000"/>
              </w:rPr>
            </w:pPr>
            <w:r>
              <w:rPr>
                <w:rFonts w:ascii="Times New Roman" w:hAnsi="Times New Roman"/>
                <w:color w:val="000000"/>
              </w:rPr>
              <w:t>12</w:t>
            </w:r>
          </w:p>
        </w:tc>
        <w:tc>
          <w:tcPr>
            <w:tcW w:w="10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Times New Roman" w:hAnsi="Times New Roman"/>
                <w:color w:val="000000"/>
              </w:rPr>
            </w:pPr>
            <w:r>
              <w:rPr>
                <w:rFonts w:hint="eastAsia" w:ascii="Times New Roman" w:hAnsi="Times New Roman"/>
                <w:color w:val="000000"/>
              </w:rPr>
              <w:t>4</w:t>
            </w:r>
            <w:r>
              <w:rPr>
                <w:rFonts w:ascii="Times New Roman" w:hAnsi="Times New Roman"/>
                <w:color w:val="000000"/>
              </w:rPr>
              <w:t>6</w:t>
            </w:r>
          </w:p>
        </w:tc>
        <w:tc>
          <w:tcPr>
            <w:tcW w:w="63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Times New Roman" w:hAnsi="Times New Roman"/>
                <w:color w:val="000000"/>
              </w:rPr>
            </w:pPr>
            <w:r>
              <w:rPr>
                <w:rFonts w:hint="eastAsia" w:ascii="Times New Roman" w:hAnsi="Times New Roman"/>
                <w:color w:val="000000"/>
              </w:rPr>
              <w:t>6</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Times New Roman" w:hAnsi="Times New Roman"/>
                <w:color w:val="000000"/>
              </w:rPr>
            </w:pPr>
            <w:r>
              <w:rPr>
                <w:rFonts w:ascii="Times New Roman" w:hAnsi="Times New Roman"/>
                <w:color w:val="000000"/>
              </w:rPr>
              <w:t>23</w:t>
            </w:r>
          </w:p>
        </w:tc>
        <w:tc>
          <w:tcPr>
            <w:tcW w:w="48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Times New Roman" w:hAnsi="Times New Roman"/>
                <w:color w:val="000000"/>
              </w:rPr>
            </w:pPr>
            <w:r>
              <w:rPr>
                <w:rFonts w:ascii="Times New Roman" w:hAnsi="Times New Roman"/>
                <w:color w:val="000000"/>
              </w:rPr>
              <w:t>5</w:t>
            </w:r>
          </w:p>
        </w:tc>
        <w:tc>
          <w:tcPr>
            <w:tcW w:w="117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Times New Roman" w:hAnsi="Times New Roman"/>
                <w:color w:val="000000"/>
              </w:rPr>
            </w:pPr>
            <w:r>
              <w:rPr>
                <w:rFonts w:hint="eastAsia" w:ascii="Times New Roman" w:hAnsi="Times New Roman"/>
                <w:color w:val="000000"/>
              </w:rPr>
              <w:t>1</w:t>
            </w:r>
            <w:r>
              <w:rPr>
                <w:rFonts w:ascii="Times New Roman" w:hAnsi="Times New Roman"/>
                <w:color w:val="000000"/>
              </w:rPr>
              <w:t>9</w:t>
            </w:r>
          </w:p>
        </w:tc>
        <w:tc>
          <w:tcPr>
            <w:tcW w:w="73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Times New Roman" w:hAnsi="Times New Roman"/>
                <w:color w:val="000000"/>
              </w:rPr>
            </w:pPr>
            <w:r>
              <w:rPr>
                <w:rFonts w:hint="eastAsia" w:ascii="Times New Roman" w:hAnsi="Times New Roman"/>
                <w:color w:val="000000"/>
              </w:rPr>
              <w:t>2</w:t>
            </w:r>
            <w:r>
              <w:rPr>
                <w:rFonts w:ascii="Times New Roman" w:hAnsi="Times New Roman"/>
                <w:color w:val="000000"/>
              </w:rPr>
              <w:t>6</w:t>
            </w:r>
          </w:p>
        </w:tc>
        <w:tc>
          <w:tcPr>
            <w:tcW w:w="1173"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Times New Roman" w:hAnsi="Times New Roman"/>
                <w:color w:val="000000"/>
              </w:rPr>
            </w:pPr>
            <w:r>
              <w:rPr>
                <w:rFonts w:ascii="Times New Roman" w:hAnsi="Times New Roman"/>
                <w:color w:val="000000"/>
              </w:rPr>
              <w:t>100</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gridAfter w:val="1"/>
          <w:wAfter w:w="19" w:type="dxa"/>
          <w:trHeight w:val="450" w:hRule="atLeast"/>
        </w:trPr>
        <w:tc>
          <w:tcPr>
            <w:tcW w:w="8364" w:type="dxa"/>
            <w:gridSpan w:val="10"/>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cMar>
              <w:top w:w="15" w:type="dxa"/>
              <w:left w:w="150" w:type="dxa"/>
              <w:bottom w:w="15" w:type="dxa"/>
              <w:right w:w="15" w:type="dxa"/>
            </w:tcMar>
            <w:vAlign w:val="center"/>
          </w:tcPr>
          <w:p>
            <w:pPr>
              <w:spacing w:line="400" w:lineRule="exact"/>
              <w:jc w:val="left"/>
              <w:rPr>
                <w:color w:val="000000"/>
              </w:rPr>
            </w:pPr>
            <w:r>
              <w:rPr>
                <w:rFonts w:hint="eastAsia"/>
                <w:color w:val="000000"/>
              </w:rPr>
              <w:t xml:space="preserve">【注】：本表格只统计专业课的授课情况、含外聘教师统计。 </w:t>
            </w:r>
          </w:p>
        </w:tc>
      </w:tr>
    </w:tbl>
    <w:p>
      <w:pPr>
        <w:widowControl/>
        <w:shd w:val="clear" w:color="auto" w:fill="FFFFFF"/>
        <w:spacing w:line="400" w:lineRule="exact"/>
        <w:ind w:firstLine="360"/>
        <w:jc w:val="left"/>
        <w:rPr>
          <w:rFonts w:ascii="宋体" w:hAnsi="宋体" w:cs="宋体"/>
          <w:color w:val="333333"/>
          <w:kern w:val="0"/>
          <w:sz w:val="24"/>
          <w:szCs w:val="24"/>
        </w:rPr>
      </w:pPr>
    </w:p>
    <w:p>
      <w:pPr>
        <w:widowControl/>
        <w:numPr>
          <w:ilvl w:val="0"/>
          <w:numId w:val="1"/>
        </w:numPr>
        <w:shd w:val="clear" w:color="auto" w:fill="FFFFFF"/>
        <w:spacing w:line="360" w:lineRule="auto"/>
        <w:ind w:firstLine="422" w:firstLineChars="175"/>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教师教学研究和教学改革情况</w:t>
      </w:r>
    </w:p>
    <w:p>
      <w:pPr>
        <w:spacing w:line="360" w:lineRule="auto"/>
        <w:ind w:firstLine="480" w:firstLineChars="200"/>
        <w:rPr>
          <w:rFonts w:ascii="仿宋_GB2312" w:hAnsi="Times New Roman" w:eastAsia="仿宋_GB2312"/>
          <w:sz w:val="24"/>
          <w:szCs w:val="24"/>
        </w:rPr>
      </w:pPr>
      <w:r>
        <w:rPr>
          <w:rFonts w:hint="eastAsia" w:ascii="仿宋_GB2312" w:hAnsi="Times New Roman" w:eastAsia="仿宋_GB2312"/>
          <w:sz w:val="24"/>
          <w:szCs w:val="24"/>
        </w:rPr>
        <w:t>针对飞行技术人才培养国内理论课程教学周期短、英语水平要求高、应用能力要求强等特点，教学过程中，充分采用“互联网+”、“移动微课”、“精品慕课”、“以赛促教”和“翻转课堂”等的教学方式，有效利用网络教学资源，形成多样化立体融合式教学模式，多种教学方法的革新通过推行实践与不断改进，取得了很大成效。</w:t>
      </w:r>
    </w:p>
    <w:p>
      <w:pPr>
        <w:widowControl/>
        <w:shd w:val="clear" w:color="auto" w:fill="FFFFFF"/>
        <w:spacing w:line="360" w:lineRule="auto"/>
        <w:ind w:firstLine="480" w:firstLineChars="200"/>
        <w:jc w:val="left"/>
        <w:rPr>
          <w:rFonts w:ascii="仿宋_GB2312" w:hAnsi="宋体" w:eastAsia="仿宋_GB2312" w:cs="宋体"/>
          <w:color w:val="333333"/>
          <w:kern w:val="0"/>
          <w:sz w:val="24"/>
          <w:szCs w:val="24"/>
        </w:rPr>
      </w:pPr>
      <w:r>
        <w:rPr>
          <w:rFonts w:hint="eastAsia" w:ascii="仿宋_GB2312" w:hAnsi="Times New Roman" w:eastAsia="仿宋_GB2312"/>
          <w:sz w:val="24"/>
          <w:szCs w:val="24"/>
        </w:rPr>
        <w:t>在原有课程建设基础之上，2022年度1门课程获批上海市课程思政示范课程/教学团队，2门课程获上海市重点课程建设项目立项，1门课程申报国家级一流课程，2门课程申报上海市一流课程。截止2022年底，专业教师共主持4门国家级一流课程，1门上海市一流课程，3本上海市优秀教材，10余门校级精品课程。2022年度发表3篇教改类文章，新出版教材3本。</w:t>
      </w:r>
    </w:p>
    <w:p>
      <w:pPr>
        <w:widowControl/>
        <w:shd w:val="clear" w:color="auto" w:fill="FFFFFF"/>
        <w:spacing w:line="360" w:lineRule="auto"/>
        <w:ind w:left="422"/>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4. 教师科研情况</w:t>
      </w:r>
    </w:p>
    <w:p>
      <w:pPr>
        <w:widowControl/>
        <w:shd w:val="clear" w:color="auto" w:fill="FFFFFF"/>
        <w:spacing w:line="360" w:lineRule="auto"/>
        <w:ind w:firstLine="480" w:firstLineChars="200"/>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2022年度，本专业专职教师中4人共发表学术论文5篇，其中SCI、EI论文3篇，核心论文共2篇。1人主持国家自然科学基金项目1项，7人主持校级以上科研项目或横向科研项目项7项，5人主持校级项目5项；3人授权国家发明专利6项。</w:t>
      </w:r>
    </w:p>
    <w:p>
      <w:pPr>
        <w:widowControl/>
        <w:shd w:val="clear" w:color="auto" w:fill="FFFFFF"/>
        <w:spacing w:line="360" w:lineRule="auto"/>
        <w:ind w:firstLine="480" w:firstLineChars="200"/>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本专业教师积极探索科研反哺教学，例如：在《飞行力学》课程中，陈丽教授将其研究的飞行动力学模型和飞行模态分析的案例引入课堂教学中，帮助学生深刻理解飞机自动驾驶系统完成预设航线飞行，甚至着陆的功能。</w:t>
      </w:r>
    </w:p>
    <w:p>
      <w:pPr>
        <w:widowControl/>
        <w:shd w:val="clear" w:color="auto" w:fill="FFFFFF"/>
        <w:spacing w:line="360" w:lineRule="auto"/>
        <w:ind w:firstLine="480" w:firstLineChars="200"/>
        <w:jc w:val="left"/>
        <w:rPr>
          <w:rFonts w:ascii="仿宋_GB2312" w:hAnsi="仿宋" w:eastAsia="仿宋_GB2312" w:cs="宋体"/>
          <w:kern w:val="0"/>
          <w:sz w:val="24"/>
        </w:rPr>
      </w:pPr>
      <w:r>
        <w:rPr>
          <w:rFonts w:hint="eastAsia" w:ascii="仿宋_GB2312" w:hAnsi="微软雅黑" w:eastAsia="仿宋_GB2312" w:cs="宋体"/>
          <w:kern w:val="0"/>
          <w:sz w:val="24"/>
          <w:szCs w:val="24"/>
        </w:rPr>
        <w:t>在《航空气象/航空气象理论》课程中，</w:t>
      </w:r>
      <w:r>
        <w:rPr>
          <w:rFonts w:hint="eastAsia" w:ascii="仿宋_GB2312" w:hAnsi="仿宋" w:eastAsia="仿宋_GB2312" w:cs="宋体"/>
          <w:kern w:val="0"/>
          <w:sz w:val="24"/>
        </w:rPr>
        <w:t>课内实验二来自顾莹老师科研项目“机场雾的研究”，教师要求学生利用计算机绘制天气图，并对航空气象观测资料进行统计，分析和探讨虹桥机场雾的形成过程，制作分析图，撰写研究小结和课堂汇报等。同时顾莹老师所做的虹桥机场雾的研究成果也作为教学案例，融入理论课程教学。</w:t>
      </w:r>
    </w:p>
    <w:p>
      <w:pPr>
        <w:widowControl/>
        <w:shd w:val="clear" w:color="auto" w:fill="FFFFFF"/>
        <w:spacing w:line="360" w:lineRule="auto"/>
        <w:ind w:left="422"/>
        <w:jc w:val="left"/>
        <w:rPr>
          <w:rFonts w:ascii="黑体" w:hAnsi="黑体" w:eastAsia="黑体" w:cs="宋体"/>
          <w:b/>
          <w:bCs/>
          <w:color w:val="333333"/>
          <w:kern w:val="0"/>
          <w:sz w:val="24"/>
          <w:szCs w:val="24"/>
        </w:rPr>
      </w:pPr>
      <w:r>
        <w:rPr>
          <w:rFonts w:ascii="黑体" w:hAnsi="黑体" w:eastAsia="黑体" w:cs="宋体"/>
          <w:b/>
          <w:bCs/>
          <w:color w:val="333333"/>
          <w:kern w:val="0"/>
          <w:sz w:val="24"/>
          <w:szCs w:val="24"/>
        </w:rPr>
        <w:t>5.</w:t>
      </w:r>
      <w:r>
        <w:rPr>
          <w:rFonts w:hint="eastAsia" w:ascii="黑体" w:hAnsi="黑体" w:eastAsia="黑体" w:cs="宋体"/>
          <w:b/>
          <w:bCs/>
          <w:color w:val="333333"/>
          <w:kern w:val="0"/>
          <w:sz w:val="24"/>
          <w:szCs w:val="24"/>
        </w:rPr>
        <w:t xml:space="preserve"> 教师进修与培养</w:t>
      </w:r>
    </w:p>
    <w:p>
      <w:pPr>
        <w:spacing w:line="360" w:lineRule="auto"/>
        <w:ind w:firstLine="480" w:firstLineChars="200"/>
        <w:rPr>
          <w:rFonts w:ascii="仿宋_GB2312" w:hAnsi="微软雅黑" w:eastAsia="仿宋_GB2312" w:cs="宋体"/>
          <w:color w:val="333333"/>
          <w:kern w:val="0"/>
          <w:sz w:val="15"/>
          <w:szCs w:val="15"/>
        </w:rPr>
      </w:pPr>
      <w:r>
        <w:rPr>
          <w:rFonts w:hint="eastAsia" w:ascii="仿宋_GB2312" w:hAnsi="Times New Roman" w:eastAsia="仿宋_GB2312"/>
          <w:sz w:val="24"/>
        </w:rPr>
        <w:t>本专业大力推进师资队伍建设，一方面鼓励青年教师进修学习、挂职锻炼，另一方面聘请具有行业背景的企业兼职导师。本学年，2名教师赴南京航空航天大学修读博士学位；2人次教师赴国内高校及研究机构参加飞行性能、飞行程序设计、无人机等方面的专业技能培训，1名教师获无人机操作相关资质；2名教师参加高校一流课程培训班。教师授课优良率达100%。</w:t>
      </w:r>
    </w:p>
    <w:p>
      <w:pPr>
        <w:widowControl/>
        <w:shd w:val="clear" w:color="auto" w:fill="FFFFFF"/>
        <w:spacing w:line="360" w:lineRule="auto"/>
        <w:ind w:left="422"/>
        <w:jc w:val="left"/>
        <w:rPr>
          <w:rFonts w:ascii="黑体" w:hAnsi="黑体" w:eastAsia="黑体" w:cs="宋体"/>
          <w:b/>
          <w:bCs/>
          <w:color w:val="333333"/>
          <w:kern w:val="0"/>
          <w:sz w:val="24"/>
          <w:szCs w:val="24"/>
        </w:rPr>
      </w:pPr>
      <w:r>
        <w:rPr>
          <w:rFonts w:ascii="黑体" w:hAnsi="黑体" w:eastAsia="黑体" w:cs="宋体"/>
          <w:b/>
          <w:bCs/>
          <w:color w:val="333333"/>
          <w:kern w:val="0"/>
          <w:sz w:val="24"/>
          <w:szCs w:val="24"/>
        </w:rPr>
        <w:t>6.</w:t>
      </w:r>
      <w:r>
        <w:rPr>
          <w:rFonts w:hint="eastAsia" w:ascii="黑体" w:hAnsi="黑体" w:eastAsia="黑体" w:cs="宋体"/>
          <w:b/>
          <w:bCs/>
          <w:color w:val="333333"/>
          <w:kern w:val="0"/>
          <w:sz w:val="24"/>
          <w:szCs w:val="24"/>
        </w:rPr>
        <w:t xml:space="preserve"> 教师参与激励计划情况</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飞行技术专业教师所在的四支教学团队在202</w:t>
      </w:r>
      <w:r>
        <w:rPr>
          <w:rFonts w:ascii="仿宋_GB2312" w:hAnsi="Times New Roman" w:eastAsia="仿宋_GB2312"/>
          <w:sz w:val="24"/>
        </w:rPr>
        <w:t>2</w:t>
      </w:r>
      <w:r>
        <w:rPr>
          <w:rFonts w:hint="eastAsia" w:ascii="仿宋_GB2312" w:hAnsi="Times New Roman" w:eastAsia="仿宋_GB2312"/>
          <w:sz w:val="24"/>
        </w:rPr>
        <w:t>年度的教学激励计划中，自习辅导与坐班答疑执行完成率100%，以2021-2022（1）学期为例，飞行技术教学团队答疑总应出席小时数1216，实际总出席小时1667，执行完成率137%；自习总应出席75天，实际总出席75天，执行完成率100%；其它飞行签派教学团队、飞行情报教学团队、飞行原理教学团队坐班答疑和自习辅导执行完成率均100%。</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通过骨干教师激励计划，飞行技术系涌现出一批师德师风优秀教师，例如蔡明老师获得学校优秀班导师，李佩绮和杜丽娟老师获得学校优秀主讲教师等。以李佩绮老师为例，其长期从事民航英语专业教育，具备中国民航局ICAO五级水平资质。在坚守教学工作的同时，李老师也十分关心学生，例如在航校面试辅导时，结合学生的性格特点、英语水平、专业素养为学生制定个性化的复习培训计划，并分期分批为学生编写模拟面试题目，利用学生的课余时间为学生做面试辅导及讲评工作。作为班导师，她深入学生宿舍，关心生病的同学，为他们买药送药；面对有思想包袱的同学，和他们谈心，为他们打开心结；对于学习困难生，李老师陪他们一起自习，与家长沟通，向任课教师了解情况。学生在航校学飞期间，每当遇到各种各样的困难和挫折时，李老师会主动给予鼓励和帮助。她克服时差，常常在深夜和学生交流，了解学生的飞行进度和思想动态，缓解学生的焦虑情绪，给予他们更多的鼓励和帮助。</w:t>
      </w:r>
    </w:p>
    <w:p>
      <w:pPr>
        <w:pStyle w:val="3"/>
      </w:pPr>
      <w:bookmarkStart w:id="6" w:name="_Toc7523"/>
      <w:r>
        <w:rPr>
          <w:rFonts w:hint="eastAsia"/>
        </w:rPr>
        <w:t>（二）教学条件与投入</w:t>
      </w:r>
      <w:bookmarkEnd w:id="6"/>
    </w:p>
    <w:p>
      <w:pPr>
        <w:widowControl/>
        <w:shd w:val="clear" w:color="auto" w:fill="FFFFFF"/>
        <w:spacing w:line="360" w:lineRule="auto"/>
        <w:ind w:left="422"/>
        <w:jc w:val="left"/>
        <w:rPr>
          <w:rFonts w:ascii="黑体" w:hAnsi="黑体" w:eastAsia="黑体" w:cs="宋体"/>
          <w:b/>
          <w:bCs/>
          <w:color w:val="333333"/>
          <w:kern w:val="0"/>
          <w:sz w:val="24"/>
          <w:szCs w:val="24"/>
        </w:rPr>
      </w:pPr>
      <w:r>
        <w:rPr>
          <w:rFonts w:ascii="黑体" w:hAnsi="黑体" w:eastAsia="黑体" w:cs="宋体"/>
          <w:b/>
          <w:bCs/>
          <w:color w:val="333333"/>
          <w:kern w:val="0"/>
          <w:sz w:val="24"/>
          <w:szCs w:val="24"/>
        </w:rPr>
        <w:t>1.</w:t>
      </w:r>
      <w:r>
        <w:rPr>
          <w:rFonts w:hint="eastAsia" w:ascii="黑体" w:hAnsi="黑体" w:eastAsia="黑体" w:cs="宋体"/>
          <w:b/>
          <w:bCs/>
          <w:color w:val="333333"/>
          <w:kern w:val="0"/>
          <w:sz w:val="24"/>
          <w:szCs w:val="24"/>
        </w:rPr>
        <w:t xml:space="preserve"> 专业经费投入与使用情况</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本专业生均日常教学经费标准为2000-3000元，其中实践环节为500-1000元。本专业生均日常教学经费2325元/人/年，其中实践环节为582元/人/年，能够基本满足教学需求。</w:t>
      </w:r>
    </w:p>
    <w:p>
      <w:pPr>
        <w:widowControl/>
        <w:shd w:val="clear" w:color="auto" w:fill="FFFFFF"/>
        <w:spacing w:line="360" w:lineRule="auto"/>
        <w:ind w:left="422"/>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2. 专业图书资料（电子图书、纸质图书）数量及利用情况</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学校图书馆具有藏书30余万种，共计100余万册图书，与交通运输工程相关的图书共计8689种，图书馆现藏书21722册，图书复本率为2</w:t>
      </w:r>
      <w:r>
        <w:rPr>
          <w:rFonts w:ascii="仿宋_GB2312" w:hAnsi="Times New Roman" w:eastAsia="仿宋_GB2312"/>
          <w:sz w:val="24"/>
        </w:rPr>
        <w:t>-</w:t>
      </w:r>
      <w:r>
        <w:rPr>
          <w:rFonts w:hint="eastAsia" w:ascii="仿宋_GB2312" w:hAnsi="Times New Roman" w:eastAsia="仿宋_GB2312"/>
          <w:sz w:val="24"/>
        </w:rPr>
        <w:t>8不等，电子图书及数据库20余种，学校图书馆已经做到了资源共享，诸如馆际互借、长三角高校图书馆联盟、上海文献信息服务中心、通用阅览等，可以满足本专业学生及教师的借阅。</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图书馆共有8个借阅合一的专业借阅室及拥有258座的多功能电子阅览室及视听室等。图书馆开放时间为8:00</w:t>
      </w:r>
      <w:r>
        <w:rPr>
          <w:rFonts w:ascii="仿宋_GB2312" w:hAnsi="Times New Roman" w:eastAsia="仿宋_GB2312"/>
          <w:sz w:val="24"/>
        </w:rPr>
        <w:t>-</w:t>
      </w:r>
      <w:r>
        <w:rPr>
          <w:rFonts w:hint="eastAsia" w:ascii="仿宋_GB2312" w:hAnsi="Times New Roman" w:eastAsia="仿宋_GB2312"/>
          <w:sz w:val="24"/>
        </w:rPr>
        <w:t>22:00，周末开放，能满足学生借阅和自习需求。</w:t>
      </w:r>
    </w:p>
    <w:p>
      <w:pPr>
        <w:widowControl/>
        <w:shd w:val="clear" w:color="auto" w:fill="FFFFFF"/>
        <w:spacing w:line="360" w:lineRule="auto"/>
        <w:ind w:firstLine="357"/>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3. 专业实验室和校外实习基地</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2022年度，在新建的航空飞行实验实训基地的基础上，继续优化整合 “虚实结合”的飞行技术实践教学平台，主要以模拟飞行桌面训练器、固定模拟训练器、B</w:t>
      </w:r>
      <w:r>
        <w:rPr>
          <w:rFonts w:ascii="仿宋_GB2312" w:hAnsi="Times New Roman" w:eastAsia="仿宋_GB2312"/>
          <w:sz w:val="24"/>
        </w:rPr>
        <w:t>737-800</w:t>
      </w:r>
      <w:r>
        <w:rPr>
          <w:rFonts w:hint="eastAsia" w:ascii="仿宋_GB2312" w:hAnsi="Times New Roman" w:eastAsia="仿宋_GB2312"/>
          <w:sz w:val="24"/>
        </w:rPr>
        <w:t>飞行模拟机、塔台管制仿真系统等为主。实验室所有专业实验室配备专门的实验管理人员，现有6名实验室管理人员，保证实验教学达到教学要求。培养计划中实验课开出率为100%。</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本专业与东方航空股份有限公司、上海航空有限公司、上海航宇科普中心、上海东方飞行培训有限公司、索航飞行俱乐部等单位签有校外实习实践协议，是本专业社会实践以及校外实习教学的主要场所。</w:t>
      </w:r>
    </w:p>
    <w:p>
      <w:pPr>
        <w:spacing w:line="360" w:lineRule="auto"/>
        <w:ind w:firstLine="480" w:firstLineChars="200"/>
        <w:rPr>
          <w:rFonts w:ascii="仿宋_GB2312" w:hAnsi="Times New Roman" w:eastAsia="仿宋_GB2312"/>
          <w:sz w:val="28"/>
          <w:szCs w:val="28"/>
        </w:rPr>
      </w:pPr>
      <w:r>
        <w:rPr>
          <w:rFonts w:hint="eastAsia" w:ascii="仿宋_GB2312" w:hAnsi="Times New Roman" w:eastAsia="仿宋_GB2312"/>
          <w:sz w:val="24"/>
        </w:rPr>
        <w:t>本年度先后配合航空公司，完成2018级及2019级部分学生航校选拔及送训工作，分别赴四川龙昊、新疆天翔、河北致远、澳大利亚CAE、美国wayman等航校进行实际飞行训练。</w:t>
      </w:r>
    </w:p>
    <w:p>
      <w:pPr>
        <w:widowControl/>
        <w:shd w:val="clear" w:color="auto" w:fill="FFFFFF"/>
        <w:spacing w:line="400" w:lineRule="exact"/>
        <w:jc w:val="left"/>
        <w:rPr>
          <w:rFonts w:ascii="微软雅黑" w:hAnsi="微软雅黑" w:eastAsia="微软雅黑" w:cs="宋体"/>
          <w:color w:val="333333"/>
          <w:kern w:val="0"/>
          <w:sz w:val="15"/>
          <w:szCs w:val="15"/>
        </w:rPr>
      </w:pPr>
    </w:p>
    <w:p>
      <w:pPr>
        <w:pStyle w:val="2"/>
      </w:pPr>
      <w:bookmarkStart w:id="7" w:name="_Toc12364"/>
      <w:r>
        <w:rPr>
          <w:rFonts w:hint="eastAsia"/>
        </w:rPr>
        <w:t>三、专业建设与人才培养</w:t>
      </w:r>
      <w:bookmarkEnd w:id="7"/>
    </w:p>
    <w:p>
      <w:pPr>
        <w:pStyle w:val="3"/>
      </w:pPr>
      <w:bookmarkStart w:id="8" w:name="_Toc29545"/>
      <w:r>
        <w:rPr>
          <w:rFonts w:hint="eastAsia"/>
        </w:rPr>
        <w:t>（一）专业建设情况</w:t>
      </w:r>
      <w:bookmarkEnd w:id="8"/>
    </w:p>
    <w:p>
      <w:pPr>
        <w:widowControl/>
        <w:shd w:val="clear" w:color="auto" w:fill="FFFFFF"/>
        <w:spacing w:line="360" w:lineRule="auto"/>
        <w:ind w:firstLine="357"/>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1. 专业课程概况</w:t>
      </w:r>
    </w:p>
    <w:p>
      <w:pPr>
        <w:spacing w:line="360" w:lineRule="auto"/>
        <w:ind w:firstLine="573"/>
        <w:rPr>
          <w:rFonts w:ascii="仿宋_GB2312" w:hAnsi="Times New Roman" w:eastAsia="仿宋_GB2312"/>
          <w:sz w:val="24"/>
        </w:rPr>
      </w:pPr>
      <w:r>
        <w:rPr>
          <w:rFonts w:hint="eastAsia" w:ascii="仿宋_GB2312" w:hAnsi="Times New Roman" w:eastAsia="仿宋_GB2312"/>
          <w:sz w:val="24"/>
        </w:rPr>
        <w:t>本专业开设的课程总门数为</w:t>
      </w:r>
      <w:r>
        <w:rPr>
          <w:rFonts w:ascii="仿宋_GB2312" w:hAnsi="Times New Roman" w:eastAsia="仿宋_GB2312"/>
          <w:sz w:val="24"/>
        </w:rPr>
        <w:t>42</w:t>
      </w:r>
      <w:r>
        <w:rPr>
          <w:rFonts w:hint="eastAsia" w:ascii="仿宋_GB2312" w:hAnsi="Times New Roman" w:eastAsia="仿宋_GB2312"/>
          <w:sz w:val="24"/>
        </w:rPr>
        <w:t>门，其中校级精品课程13门，上海市一流（精品）课程2门，上海市重点课程10门，全英语课程</w:t>
      </w:r>
      <w:r>
        <w:rPr>
          <w:rFonts w:ascii="仿宋_GB2312" w:hAnsi="Times New Roman" w:eastAsia="仿宋_GB2312"/>
          <w:sz w:val="24"/>
        </w:rPr>
        <w:t>12</w:t>
      </w:r>
      <w:r>
        <w:rPr>
          <w:rFonts w:hint="eastAsia" w:ascii="仿宋_GB2312" w:hAnsi="Times New Roman" w:eastAsia="仿宋_GB2312"/>
          <w:sz w:val="24"/>
        </w:rPr>
        <w:t>门，上海市示范性全英语课程6门，在线课程3门。</w:t>
      </w:r>
    </w:p>
    <w:p>
      <w:pPr>
        <w:widowControl/>
        <w:jc w:val="left"/>
        <w:rPr>
          <w:rFonts w:ascii="黑体" w:hAnsi="黑体" w:eastAsia="黑体" w:cs="黑体"/>
          <w:b/>
          <w:bCs/>
          <w:color w:val="333333"/>
          <w:kern w:val="0"/>
          <w:sz w:val="24"/>
          <w:szCs w:val="24"/>
        </w:rPr>
      </w:pPr>
      <w:r>
        <w:rPr>
          <w:rFonts w:ascii="黑体" w:hAnsi="黑体" w:eastAsia="黑体" w:cs="黑体"/>
          <w:b/>
          <w:bCs/>
          <w:color w:val="333333"/>
          <w:kern w:val="0"/>
          <w:sz w:val="24"/>
          <w:szCs w:val="24"/>
        </w:rPr>
        <w:br w:type="page"/>
      </w:r>
    </w:p>
    <w:p>
      <w:pPr>
        <w:widowControl/>
        <w:shd w:val="clear" w:color="auto" w:fill="FFFFFF"/>
        <w:spacing w:before="156" w:beforeLines="50" w:line="360" w:lineRule="auto"/>
        <w:ind w:firstLine="357"/>
        <w:jc w:val="center"/>
        <w:rPr>
          <w:rFonts w:ascii="黑体" w:hAnsi="黑体" w:eastAsia="黑体" w:cs="黑体"/>
          <w:b/>
          <w:bCs/>
          <w:color w:val="333333"/>
          <w:kern w:val="0"/>
          <w:sz w:val="24"/>
          <w:szCs w:val="24"/>
        </w:rPr>
      </w:pPr>
      <w:r>
        <w:rPr>
          <w:rFonts w:hint="eastAsia" w:ascii="黑体" w:hAnsi="黑体" w:eastAsia="黑体" w:cs="黑体"/>
          <w:b/>
          <w:bCs/>
          <w:color w:val="333333"/>
          <w:kern w:val="0"/>
          <w:sz w:val="24"/>
          <w:szCs w:val="24"/>
        </w:rPr>
        <w:t>表5 专业生师情况（时点）</w:t>
      </w:r>
    </w:p>
    <w:tbl>
      <w:tblPr>
        <w:tblStyle w:val="10"/>
        <w:tblW w:w="8568" w:type="dxa"/>
        <w:tblInd w:w="-19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15" w:type="dxa"/>
          <w:left w:w="15" w:type="dxa"/>
          <w:bottom w:w="15" w:type="dxa"/>
          <w:right w:w="15" w:type="dxa"/>
        </w:tblCellMar>
      </w:tblPr>
      <w:tblGrid>
        <w:gridCol w:w="991"/>
        <w:gridCol w:w="1155"/>
        <w:gridCol w:w="1485"/>
        <w:gridCol w:w="765"/>
        <w:gridCol w:w="1440"/>
        <w:gridCol w:w="1080"/>
        <w:gridCol w:w="1652"/>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505" w:hRule="atLeast"/>
          <w:tblHeader/>
        </w:trPr>
        <w:tc>
          <w:tcPr>
            <w:tcW w:w="3631" w:type="dxa"/>
            <w:gridSpan w:val="3"/>
            <w:tcBorders>
              <w:tl2br w:val="nil"/>
              <w:tr2bl w:val="nil"/>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授课教师</w:t>
            </w:r>
          </w:p>
        </w:tc>
        <w:tc>
          <w:tcPr>
            <w:tcW w:w="765" w:type="dxa"/>
            <w:vMerge w:val="restart"/>
            <w:tcBorders>
              <w:tl2br w:val="nil"/>
              <w:tr2bl w:val="nil"/>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本科学生数</w:t>
            </w:r>
          </w:p>
        </w:tc>
        <w:tc>
          <w:tcPr>
            <w:tcW w:w="1440" w:type="dxa"/>
            <w:vMerge w:val="restart"/>
            <w:tcBorders>
              <w:tl2br w:val="nil"/>
              <w:tr2bl w:val="nil"/>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学生与本学院授课教师之比</w:t>
            </w:r>
          </w:p>
        </w:tc>
        <w:tc>
          <w:tcPr>
            <w:tcW w:w="1080" w:type="dxa"/>
            <w:vMerge w:val="restart"/>
            <w:tcBorders>
              <w:tl2br w:val="nil"/>
              <w:tr2bl w:val="nil"/>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应届毕业生数</w:t>
            </w:r>
          </w:p>
        </w:tc>
        <w:tc>
          <w:tcPr>
            <w:tcW w:w="1652" w:type="dxa"/>
            <w:vMerge w:val="restart"/>
            <w:tcBorders>
              <w:tl2br w:val="nil"/>
              <w:tr2bl w:val="nil"/>
            </w:tcBorders>
            <w:shd w:val="clear" w:color="auto" w:fill="4F81BD"/>
            <w:vAlign w:val="center"/>
          </w:tcPr>
          <w:p>
            <w:pPr>
              <w:spacing w:line="400" w:lineRule="exact"/>
              <w:jc w:val="center"/>
              <w:rPr>
                <w:rFonts w:ascii="黑体" w:hAnsi="黑体" w:eastAsia="黑体" w:cs="黑体"/>
                <w:b/>
                <w:bCs/>
                <w:color w:val="FFFFFF"/>
              </w:rPr>
            </w:pPr>
            <w:r>
              <w:rPr>
                <w:rFonts w:hint="eastAsia" w:ascii="黑体" w:hAnsi="黑体" w:eastAsia="黑体" w:cs="黑体"/>
                <w:b/>
                <w:bCs/>
                <w:color w:val="FFFFFF"/>
              </w:rPr>
              <w:t>当年毕业生初次就业率（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450" w:hRule="atLeast"/>
          <w:tblHeader/>
        </w:trPr>
        <w:tc>
          <w:tcPr>
            <w:tcW w:w="991" w:type="dxa"/>
            <w:tcBorders>
              <w:tl2br w:val="nil"/>
              <w:tr2bl w:val="nil"/>
            </w:tcBorders>
            <w:shd w:val="clear" w:color="auto" w:fill="4F81BD" w:themeFill="accent1"/>
            <w:vAlign w:val="center"/>
          </w:tcPr>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本学院授课教师数</w:t>
            </w:r>
          </w:p>
        </w:tc>
        <w:tc>
          <w:tcPr>
            <w:tcW w:w="1155" w:type="dxa"/>
            <w:tcBorders>
              <w:tl2br w:val="nil"/>
              <w:tr2bl w:val="nil"/>
            </w:tcBorders>
            <w:shd w:val="clear" w:color="auto" w:fill="4F81BD" w:themeFill="accent1"/>
            <w:vAlign w:val="center"/>
          </w:tcPr>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外学院授课教师数</w:t>
            </w:r>
          </w:p>
        </w:tc>
        <w:tc>
          <w:tcPr>
            <w:tcW w:w="1485" w:type="dxa"/>
            <w:tcBorders>
              <w:tl2br w:val="nil"/>
              <w:tr2bl w:val="nil"/>
            </w:tcBorders>
            <w:shd w:val="clear" w:color="auto" w:fill="4F81BD" w:themeFill="accent1"/>
            <w:vAlign w:val="center"/>
          </w:tcPr>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具有高级职称的授课教师数</w:t>
            </w:r>
          </w:p>
        </w:tc>
        <w:tc>
          <w:tcPr>
            <w:tcW w:w="765" w:type="dxa"/>
            <w:vMerge w:val="continue"/>
            <w:tcBorders>
              <w:tl2br w:val="nil"/>
              <w:tr2bl w:val="nil"/>
            </w:tcBorders>
            <w:shd w:val="clear" w:color="auto" w:fill="FFFFFF"/>
            <w:vAlign w:val="center"/>
          </w:tcPr>
          <w:p>
            <w:pPr>
              <w:spacing w:line="400" w:lineRule="exact"/>
              <w:rPr>
                <w:rFonts w:ascii="宋体" w:hAnsi="宋体" w:cs="宋体"/>
                <w:b/>
                <w:bCs/>
                <w:color w:val="000000"/>
                <w:sz w:val="24"/>
                <w:szCs w:val="24"/>
              </w:rPr>
            </w:pPr>
          </w:p>
        </w:tc>
        <w:tc>
          <w:tcPr>
            <w:tcW w:w="1440" w:type="dxa"/>
            <w:vMerge w:val="continue"/>
            <w:tcBorders>
              <w:tl2br w:val="nil"/>
              <w:tr2bl w:val="nil"/>
            </w:tcBorders>
            <w:shd w:val="clear" w:color="auto" w:fill="FFFFFF"/>
            <w:vAlign w:val="center"/>
          </w:tcPr>
          <w:p>
            <w:pPr>
              <w:spacing w:line="400" w:lineRule="exact"/>
              <w:rPr>
                <w:rFonts w:ascii="宋体" w:hAnsi="宋体" w:cs="宋体"/>
                <w:b/>
                <w:bCs/>
                <w:color w:val="000000"/>
                <w:sz w:val="24"/>
                <w:szCs w:val="24"/>
              </w:rPr>
            </w:pPr>
          </w:p>
        </w:tc>
        <w:tc>
          <w:tcPr>
            <w:tcW w:w="1080" w:type="dxa"/>
            <w:vMerge w:val="continue"/>
            <w:tcBorders>
              <w:tl2br w:val="nil"/>
              <w:tr2bl w:val="nil"/>
            </w:tcBorders>
            <w:shd w:val="clear" w:color="auto" w:fill="FFFFFF"/>
            <w:vAlign w:val="center"/>
          </w:tcPr>
          <w:p>
            <w:pPr>
              <w:spacing w:line="400" w:lineRule="exact"/>
              <w:rPr>
                <w:rFonts w:ascii="宋体" w:hAnsi="宋体" w:cs="宋体"/>
                <w:b/>
                <w:bCs/>
                <w:color w:val="000000"/>
                <w:sz w:val="24"/>
                <w:szCs w:val="24"/>
              </w:rPr>
            </w:pPr>
          </w:p>
        </w:tc>
        <w:tc>
          <w:tcPr>
            <w:tcW w:w="1652" w:type="dxa"/>
            <w:vMerge w:val="continue"/>
            <w:tcBorders>
              <w:tl2br w:val="nil"/>
              <w:tr2bl w:val="nil"/>
            </w:tcBorders>
            <w:shd w:val="clear" w:color="auto" w:fill="FFFFFF"/>
            <w:vAlign w:val="center"/>
          </w:tcPr>
          <w:p>
            <w:pPr>
              <w:spacing w:line="400" w:lineRule="exact"/>
              <w:rPr>
                <w:rFonts w:ascii="宋体" w:hAnsi="宋体" w:cs="宋体"/>
                <w:b/>
                <w:bCs/>
                <w:color w:val="000000"/>
                <w:sz w:val="24"/>
                <w:szCs w:val="24"/>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450" w:hRule="atLeast"/>
        </w:trPr>
        <w:tc>
          <w:tcPr>
            <w:tcW w:w="991" w:type="dxa"/>
            <w:tcBorders>
              <w:tl2br w:val="nil"/>
              <w:tr2bl w:val="nil"/>
            </w:tcBorders>
            <w:shd w:val="clear" w:color="auto" w:fill="FFFFFF"/>
            <w:vAlign w:val="center"/>
          </w:tcPr>
          <w:p>
            <w:pPr>
              <w:spacing w:line="400" w:lineRule="exact"/>
              <w:jc w:val="center"/>
              <w:rPr>
                <w:b/>
                <w:bCs/>
                <w:color w:val="000000"/>
              </w:rPr>
            </w:pPr>
            <w:r>
              <w:rPr>
                <w:b/>
                <w:bCs/>
                <w:color w:val="000000"/>
              </w:rPr>
              <w:t>25</w:t>
            </w:r>
          </w:p>
        </w:tc>
        <w:tc>
          <w:tcPr>
            <w:tcW w:w="1155" w:type="dxa"/>
            <w:tcBorders>
              <w:tl2br w:val="nil"/>
              <w:tr2bl w:val="nil"/>
            </w:tcBorders>
            <w:shd w:val="clear" w:color="auto" w:fill="FFFFFF"/>
            <w:vAlign w:val="center"/>
          </w:tcPr>
          <w:p>
            <w:pPr>
              <w:spacing w:line="400" w:lineRule="exact"/>
              <w:jc w:val="center"/>
              <w:rPr>
                <w:b/>
                <w:bCs/>
                <w:color w:val="000000"/>
              </w:rPr>
            </w:pPr>
            <w:r>
              <w:rPr>
                <w:rFonts w:hint="eastAsia"/>
                <w:b/>
                <w:bCs/>
                <w:color w:val="000000"/>
              </w:rPr>
              <w:t>1</w:t>
            </w:r>
          </w:p>
        </w:tc>
        <w:tc>
          <w:tcPr>
            <w:tcW w:w="1485" w:type="dxa"/>
            <w:tcBorders>
              <w:tl2br w:val="nil"/>
              <w:tr2bl w:val="nil"/>
            </w:tcBorders>
            <w:shd w:val="clear" w:color="auto" w:fill="FFFFFF"/>
            <w:vAlign w:val="center"/>
          </w:tcPr>
          <w:p>
            <w:pPr>
              <w:spacing w:line="400" w:lineRule="exact"/>
              <w:jc w:val="center"/>
              <w:rPr>
                <w:b/>
                <w:bCs/>
                <w:color w:val="000000"/>
              </w:rPr>
            </w:pPr>
            <w:r>
              <w:rPr>
                <w:b/>
                <w:bCs/>
                <w:color w:val="000000"/>
              </w:rPr>
              <w:t>12</w:t>
            </w:r>
          </w:p>
        </w:tc>
        <w:tc>
          <w:tcPr>
            <w:tcW w:w="765" w:type="dxa"/>
            <w:tcBorders>
              <w:tl2br w:val="nil"/>
              <w:tr2bl w:val="nil"/>
            </w:tcBorders>
            <w:shd w:val="clear" w:color="auto" w:fill="FFFFFF"/>
            <w:vAlign w:val="center"/>
          </w:tcPr>
          <w:p>
            <w:pPr>
              <w:spacing w:line="400" w:lineRule="exact"/>
              <w:jc w:val="center"/>
              <w:rPr>
                <w:b/>
                <w:bCs/>
                <w:color w:val="000000"/>
              </w:rPr>
            </w:pPr>
            <w:r>
              <w:rPr>
                <w:b/>
                <w:bCs/>
                <w:color w:val="000000"/>
              </w:rPr>
              <w:t>772</w:t>
            </w:r>
          </w:p>
        </w:tc>
        <w:tc>
          <w:tcPr>
            <w:tcW w:w="1440" w:type="dxa"/>
            <w:tcBorders>
              <w:tl2br w:val="nil"/>
              <w:tr2bl w:val="nil"/>
            </w:tcBorders>
            <w:shd w:val="clear" w:color="auto" w:fill="FFFFFF"/>
            <w:vAlign w:val="center"/>
          </w:tcPr>
          <w:p>
            <w:pPr>
              <w:spacing w:line="400" w:lineRule="exact"/>
              <w:jc w:val="center"/>
              <w:rPr>
                <w:b/>
                <w:bCs/>
                <w:color w:val="000000"/>
              </w:rPr>
            </w:pPr>
            <w:r>
              <w:rPr>
                <w:b/>
                <w:bCs/>
                <w:color w:val="000000"/>
              </w:rPr>
              <w:t>31:1</w:t>
            </w:r>
          </w:p>
        </w:tc>
        <w:tc>
          <w:tcPr>
            <w:tcW w:w="1080" w:type="dxa"/>
            <w:tcBorders>
              <w:tl2br w:val="nil"/>
              <w:tr2bl w:val="nil"/>
            </w:tcBorders>
            <w:shd w:val="clear" w:color="auto" w:fill="FFFFFF"/>
            <w:vAlign w:val="center"/>
          </w:tcPr>
          <w:p>
            <w:pPr>
              <w:spacing w:line="400" w:lineRule="exact"/>
              <w:jc w:val="center"/>
              <w:rPr>
                <w:b/>
                <w:bCs/>
                <w:color w:val="000000"/>
              </w:rPr>
            </w:pPr>
            <w:r>
              <w:rPr>
                <w:b/>
                <w:bCs/>
                <w:color w:val="000000"/>
              </w:rPr>
              <w:t>77</w:t>
            </w:r>
          </w:p>
        </w:tc>
        <w:tc>
          <w:tcPr>
            <w:tcW w:w="1652" w:type="dxa"/>
            <w:tcBorders>
              <w:tl2br w:val="nil"/>
              <w:tr2bl w:val="nil"/>
            </w:tcBorders>
            <w:shd w:val="clear" w:color="auto" w:fill="FFFFFF"/>
            <w:vAlign w:val="center"/>
          </w:tcPr>
          <w:p>
            <w:pPr>
              <w:spacing w:line="400" w:lineRule="exact"/>
              <w:jc w:val="center"/>
              <w:rPr>
                <w:b/>
                <w:bCs/>
                <w:color w:val="000000"/>
              </w:rPr>
            </w:pPr>
            <w:r>
              <w:rPr>
                <w:rFonts w:hint="eastAsia"/>
                <w:b/>
                <w:bCs/>
                <w:color w:val="000000"/>
              </w:rPr>
              <w:t>1</w:t>
            </w:r>
            <w:r>
              <w:rPr>
                <w:b/>
                <w:bCs/>
                <w:color w:val="000000"/>
              </w:rPr>
              <w:t>00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15" w:type="dxa"/>
            <w:left w:w="15" w:type="dxa"/>
            <w:bottom w:w="15" w:type="dxa"/>
            <w:right w:w="15" w:type="dxa"/>
          </w:tblCellMar>
        </w:tblPrEx>
        <w:trPr>
          <w:trHeight w:val="450" w:hRule="atLeast"/>
        </w:trPr>
        <w:tc>
          <w:tcPr>
            <w:tcW w:w="8568" w:type="dxa"/>
            <w:gridSpan w:val="7"/>
            <w:tcBorders>
              <w:tl2br w:val="nil"/>
              <w:tr2bl w:val="nil"/>
            </w:tcBorders>
            <w:shd w:val="clear" w:color="auto" w:fill="FFFFFF"/>
            <w:tcMar>
              <w:top w:w="15" w:type="dxa"/>
              <w:left w:w="150" w:type="dxa"/>
              <w:bottom w:w="15" w:type="dxa"/>
              <w:right w:w="15" w:type="dxa"/>
            </w:tcMar>
            <w:vAlign w:val="center"/>
          </w:tcPr>
          <w:p>
            <w:pPr>
              <w:spacing w:line="400" w:lineRule="exact"/>
              <w:jc w:val="left"/>
              <w:rPr>
                <w:color w:val="000000"/>
              </w:rPr>
            </w:pPr>
            <w:r>
              <w:rPr>
                <w:rFonts w:hint="eastAsia"/>
                <w:color w:val="000000"/>
              </w:rPr>
              <w:t xml:space="preserve">【注】：本表格中授课教师只统计专业课教师，不含外聘人员，含离职人员。 </w:t>
            </w:r>
          </w:p>
        </w:tc>
      </w:tr>
    </w:tbl>
    <w:p>
      <w:pPr>
        <w:widowControl/>
        <w:shd w:val="clear" w:color="auto" w:fill="FFFFFF"/>
        <w:spacing w:line="400" w:lineRule="exact"/>
        <w:jc w:val="left"/>
        <w:rPr>
          <w:rFonts w:ascii="微软雅黑" w:hAnsi="微软雅黑" w:eastAsia="微软雅黑" w:cs="宋体"/>
          <w:color w:val="333333"/>
          <w:kern w:val="0"/>
          <w:sz w:val="15"/>
          <w:szCs w:val="15"/>
        </w:rPr>
      </w:pPr>
    </w:p>
    <w:p>
      <w:pPr>
        <w:widowControl/>
        <w:shd w:val="clear" w:color="auto" w:fill="FFFFFF"/>
        <w:spacing w:line="360" w:lineRule="auto"/>
        <w:ind w:firstLine="357"/>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2. 课程教学大纲制定情况</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本专业全面围绕国际专业认证开展了课程教学大纲修订工作，充分梳理了国际专业认证中飞行技术专业人才毕业要求与课程体系的内涵联系，形成通用毕业要求矩阵表、专业能力矩阵，并进一步细化修订了专业课程的中、英文教学大纲，重点对大纲中“课程定位”、“教学目标”、“教学目标与毕业要求的对应关系”以及“教学目标达成度的评价标准”等描述进行了规范化及统一化。</w:t>
      </w:r>
    </w:p>
    <w:p>
      <w:pPr>
        <w:widowControl/>
        <w:shd w:val="clear" w:color="auto" w:fill="FFFFFF"/>
        <w:spacing w:line="360" w:lineRule="auto"/>
        <w:ind w:firstLine="357"/>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3. 教材建设情况</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教师在选用非自编专业教材时严格遴选本专业该课程具有代表性的教材或获奖教材，且尽量选用国家规划教材。本年度新出版教材2本，再版1本。</w:t>
      </w:r>
    </w:p>
    <w:p>
      <w:pPr>
        <w:pStyle w:val="3"/>
      </w:pPr>
      <w:bookmarkStart w:id="9" w:name="_Toc9784"/>
      <w:r>
        <w:rPr>
          <w:rFonts w:hint="eastAsia"/>
        </w:rPr>
        <w:t>（二）实践教学情况</w:t>
      </w:r>
      <w:bookmarkEnd w:id="9"/>
    </w:p>
    <w:p>
      <w:pPr>
        <w:widowControl/>
        <w:shd w:val="clear" w:color="auto" w:fill="FFFFFF"/>
        <w:spacing w:line="360" w:lineRule="auto"/>
        <w:ind w:firstLine="357"/>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1. 专业实验实践教学总学时、总学分占比情况</w:t>
      </w:r>
    </w:p>
    <w:p>
      <w:pPr>
        <w:spacing w:line="360" w:lineRule="auto"/>
        <w:ind w:firstLine="480" w:firstLineChars="200"/>
        <w:rPr>
          <w:rFonts w:ascii="仿宋_GB2312" w:hAnsi="Times New Roman" w:eastAsia="仿宋_GB2312"/>
          <w:bCs/>
          <w:sz w:val="24"/>
        </w:rPr>
      </w:pPr>
      <w:r>
        <w:rPr>
          <w:rFonts w:hint="eastAsia" w:ascii="仿宋_GB2312" w:hAnsi="Times New Roman" w:eastAsia="仿宋_GB2312"/>
          <w:sz w:val="24"/>
        </w:rPr>
        <w:t>在2022级专业培养计划中，设置10门独立实验实践课程和17门课内实验。其中，独立实验实践课程中综合性课程8门、设计类课程2门。实验实践课程开出率为100%。学校实践教学科，通过制订严格、规范的管理文件和定期开展检查督导，确保实验教学质量。</w:t>
      </w:r>
      <w:r>
        <w:rPr>
          <w:rFonts w:hint="eastAsia" w:ascii="仿宋_GB2312" w:hAnsi="Times New Roman" w:eastAsia="仿宋_GB2312"/>
          <w:bCs/>
          <w:sz w:val="24"/>
        </w:rPr>
        <w:t>专业实验实践教学基本情况见表6。</w:t>
      </w:r>
    </w:p>
    <w:p>
      <w:pPr>
        <w:widowControl/>
        <w:shd w:val="clear" w:color="auto" w:fill="FFFFFF"/>
        <w:spacing w:before="156" w:beforeLines="50" w:line="360" w:lineRule="auto"/>
        <w:ind w:firstLine="357"/>
        <w:jc w:val="center"/>
        <w:rPr>
          <w:rFonts w:ascii="黑体" w:hAnsi="黑体" w:eastAsia="黑体" w:cs="黑体"/>
          <w:b/>
          <w:bCs/>
          <w:color w:val="333333"/>
          <w:kern w:val="0"/>
          <w:sz w:val="24"/>
          <w:szCs w:val="24"/>
        </w:rPr>
      </w:pPr>
      <w:r>
        <w:rPr>
          <w:rFonts w:hint="eastAsia" w:ascii="黑体" w:hAnsi="黑体" w:eastAsia="黑体" w:cs="黑体"/>
          <w:b/>
          <w:bCs/>
          <w:color w:val="333333"/>
          <w:kern w:val="0"/>
          <w:sz w:val="24"/>
          <w:szCs w:val="24"/>
        </w:rPr>
        <w:t>表6 专业实践教学情况（时点）</w:t>
      </w:r>
    </w:p>
    <w:tbl>
      <w:tblPr>
        <w:tblStyle w:val="10"/>
        <w:tblW w:w="8349" w:type="dxa"/>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
      <w:tblGrid>
        <w:gridCol w:w="696"/>
        <w:gridCol w:w="1900"/>
        <w:gridCol w:w="572"/>
        <w:gridCol w:w="2174"/>
        <w:gridCol w:w="3007"/>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520" w:hRule="atLeast"/>
          <w:tblHeader/>
        </w:trPr>
        <w:tc>
          <w:tcPr>
            <w:tcW w:w="2596"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实践教学</w:t>
            </w:r>
          </w:p>
        </w:tc>
        <w:tc>
          <w:tcPr>
            <w:tcW w:w="575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其中:实验教学</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975" w:hRule="atLeast"/>
          <w:tblHeader/>
        </w:trPr>
        <w:tc>
          <w:tcPr>
            <w:tcW w:w="69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学分</w:t>
            </w:r>
          </w:p>
        </w:tc>
        <w:tc>
          <w:tcPr>
            <w:tcW w:w="19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占总学分比（％）</w:t>
            </w:r>
          </w:p>
        </w:tc>
        <w:tc>
          <w:tcPr>
            <w:tcW w:w="57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学分</w:t>
            </w:r>
          </w:p>
        </w:tc>
        <w:tc>
          <w:tcPr>
            <w:tcW w:w="217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占总学分比（％）</w:t>
            </w:r>
          </w:p>
        </w:tc>
        <w:tc>
          <w:tcPr>
            <w:tcW w:w="300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独立开设实验课程门数</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69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黑体" w:hAnsi="黑体" w:eastAsia="黑体" w:cs="黑体"/>
                <w:b/>
                <w:bCs/>
              </w:rPr>
            </w:pPr>
            <w:r>
              <w:rPr>
                <w:rFonts w:ascii="黑体" w:hAnsi="黑体" w:eastAsia="黑体" w:cs="黑体"/>
                <w:b/>
                <w:bCs/>
              </w:rPr>
              <w:t>52.75</w:t>
            </w:r>
          </w:p>
        </w:tc>
        <w:tc>
          <w:tcPr>
            <w:tcW w:w="19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黑体" w:hAnsi="黑体" w:eastAsia="黑体" w:cs="黑体"/>
                <w:b/>
                <w:bCs/>
              </w:rPr>
            </w:pPr>
            <w:r>
              <w:rPr>
                <w:rFonts w:ascii="黑体" w:hAnsi="黑体" w:eastAsia="黑体" w:cs="黑体"/>
                <w:b/>
                <w:bCs/>
              </w:rPr>
              <w:t>31.6</w:t>
            </w:r>
          </w:p>
        </w:tc>
        <w:tc>
          <w:tcPr>
            <w:tcW w:w="57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黑体" w:hAnsi="黑体" w:eastAsia="黑体" w:cs="黑体"/>
                <w:b/>
                <w:bCs/>
              </w:rPr>
            </w:pPr>
            <w:r>
              <w:rPr>
                <w:rFonts w:hint="eastAsia" w:ascii="黑体" w:hAnsi="黑体" w:eastAsia="黑体" w:cs="黑体"/>
                <w:b/>
                <w:bCs/>
              </w:rPr>
              <w:t>1</w:t>
            </w:r>
            <w:r>
              <w:rPr>
                <w:rFonts w:ascii="黑体" w:hAnsi="黑体" w:eastAsia="黑体" w:cs="黑体"/>
                <w:b/>
                <w:bCs/>
              </w:rPr>
              <w:t>4.75</w:t>
            </w:r>
          </w:p>
        </w:tc>
        <w:tc>
          <w:tcPr>
            <w:tcW w:w="217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黑体" w:hAnsi="黑体" w:eastAsia="黑体" w:cs="黑体"/>
                <w:b/>
                <w:bCs/>
              </w:rPr>
            </w:pPr>
            <w:r>
              <w:rPr>
                <w:rFonts w:hint="eastAsia" w:ascii="黑体" w:hAnsi="黑体" w:eastAsia="黑体" w:cs="黑体"/>
                <w:b/>
                <w:bCs/>
              </w:rPr>
              <w:t>8</w:t>
            </w:r>
            <w:r>
              <w:rPr>
                <w:rFonts w:ascii="黑体" w:hAnsi="黑体" w:eastAsia="黑体" w:cs="黑体"/>
                <w:b/>
                <w:bCs/>
              </w:rPr>
              <w:t>.8</w:t>
            </w:r>
          </w:p>
        </w:tc>
        <w:tc>
          <w:tcPr>
            <w:tcW w:w="300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vAlign w:val="center"/>
          </w:tcPr>
          <w:p>
            <w:pPr>
              <w:spacing w:line="400" w:lineRule="exact"/>
              <w:jc w:val="center"/>
              <w:rPr>
                <w:rFonts w:ascii="黑体" w:hAnsi="黑体" w:eastAsia="黑体" w:cs="黑体"/>
                <w:b/>
                <w:bCs/>
              </w:rPr>
            </w:pPr>
            <w:r>
              <w:rPr>
                <w:rFonts w:hint="eastAsia" w:ascii="黑体" w:hAnsi="黑体" w:eastAsia="黑体" w:cs="黑体"/>
                <w:b/>
                <w:bCs/>
              </w:rPr>
              <w:t>1</w:t>
            </w:r>
          </w:p>
        </w:tc>
      </w:tr>
    </w:tbl>
    <w:p>
      <w:pPr>
        <w:widowControl/>
        <w:shd w:val="clear" w:color="auto" w:fill="FFFFFF"/>
        <w:spacing w:line="360" w:lineRule="auto"/>
        <w:jc w:val="left"/>
        <w:rPr>
          <w:rFonts w:ascii="黑体" w:hAnsi="黑体" w:eastAsia="黑体" w:cs="宋体"/>
          <w:b/>
          <w:bCs/>
          <w:color w:val="333333"/>
          <w:kern w:val="0"/>
          <w:sz w:val="24"/>
          <w:szCs w:val="24"/>
        </w:rPr>
      </w:pPr>
    </w:p>
    <w:p>
      <w:pPr>
        <w:widowControl/>
        <w:shd w:val="clear" w:color="auto" w:fill="FFFFFF"/>
        <w:spacing w:line="360" w:lineRule="auto"/>
        <w:ind w:firstLine="357"/>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2. 实验教学大纲、实习（实训）教学大纲修订情况</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每学期，学校组织督导组检查各专业实验课程的归档资料（包括实验大纲、实验指导书、学生实验报告、实验成绩报表、实验总结等五大件）、实习的归档资料（包括实习大纲、实习指导书、学生实习报告、实习成绩报表、实习总结，对校外实习还需提供校外实习安排表和校外实习评价表）及其执行情况，确保各专业严格按照培养计划开展实践教学环节。根据督导组反馈意见，由教学团队组织教师对实验教学大纲进行修订。实习课程由校企双方共同商讨、修订实习目标、实习内容和实施计划，由校内指导教师和企业带教导师共同指导。</w:t>
      </w:r>
    </w:p>
    <w:p>
      <w:pPr>
        <w:widowControl/>
        <w:shd w:val="clear" w:color="auto" w:fill="FFFFFF"/>
        <w:spacing w:line="360" w:lineRule="auto"/>
        <w:ind w:firstLine="357"/>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3. 实践类课程建设和开设情况</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本学年，《飞行模拟器实习》获批</w:t>
      </w:r>
      <w:r>
        <w:rPr>
          <w:rFonts w:hint="eastAsia" w:ascii="仿宋_GB2312" w:hAnsi="Times New Roman" w:eastAsia="仿宋_GB2312"/>
          <w:sz w:val="24"/>
          <w:szCs w:val="24"/>
        </w:rPr>
        <w:t>上海市课程思政示范课程；《飞行技术认识实习》继续建设上海高校市级重点课程。培养计划中的实践类课程开出率1</w:t>
      </w:r>
      <w:r>
        <w:rPr>
          <w:rFonts w:ascii="仿宋_GB2312" w:hAnsi="Times New Roman" w:eastAsia="仿宋_GB2312"/>
          <w:sz w:val="24"/>
          <w:szCs w:val="24"/>
        </w:rPr>
        <w:t>00%</w:t>
      </w:r>
      <w:r>
        <w:rPr>
          <w:rFonts w:hint="eastAsia" w:ascii="仿宋_GB2312" w:hAnsi="Times New Roman" w:eastAsia="仿宋_GB2312"/>
          <w:sz w:val="24"/>
          <w:szCs w:val="24"/>
        </w:rPr>
        <w:t>。</w:t>
      </w:r>
      <w:r>
        <w:rPr>
          <w:rFonts w:hint="eastAsia" w:ascii="仿宋_GB2312" w:hAnsi="Times New Roman" w:eastAsia="仿宋_GB2312"/>
          <w:sz w:val="24"/>
        </w:rPr>
        <w:t>本专业还</w:t>
      </w:r>
      <w:r>
        <w:rPr>
          <w:rFonts w:ascii="仿宋_GB2312" w:hAnsi="Times New Roman" w:eastAsia="仿宋_GB2312"/>
          <w:sz w:val="24"/>
        </w:rPr>
        <w:t>开设</w:t>
      </w:r>
      <w:r>
        <w:rPr>
          <w:rFonts w:hint="eastAsia" w:ascii="仿宋_GB2312" w:hAnsi="Times New Roman" w:eastAsia="仿宋_GB2312"/>
          <w:sz w:val="24"/>
        </w:rPr>
        <w:t>2</w:t>
      </w:r>
      <w:r>
        <w:rPr>
          <w:rFonts w:ascii="仿宋_GB2312" w:hAnsi="Times New Roman" w:eastAsia="仿宋_GB2312"/>
          <w:sz w:val="24"/>
        </w:rPr>
        <w:t>门创新类公共实践选修课，2项创新实验项目</w:t>
      </w:r>
      <w:r>
        <w:rPr>
          <w:rFonts w:hint="eastAsia" w:ascii="仿宋_GB2312" w:hAnsi="Times New Roman" w:eastAsia="仿宋_GB2312"/>
          <w:sz w:val="24"/>
        </w:rPr>
        <w:t>。</w:t>
      </w:r>
    </w:p>
    <w:p>
      <w:pPr>
        <w:widowControl/>
        <w:shd w:val="clear" w:color="auto" w:fill="FFFFFF"/>
        <w:spacing w:line="360" w:lineRule="auto"/>
        <w:ind w:firstLine="357"/>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4. 专业实验室建设与开放利用情况</w:t>
      </w:r>
    </w:p>
    <w:p>
      <w:pPr>
        <w:spacing w:line="360" w:lineRule="auto"/>
        <w:ind w:firstLine="480" w:firstLineChars="200"/>
        <w:rPr>
          <w:rFonts w:ascii="仿宋_GB2312" w:hAnsi="Times New Roman" w:eastAsia="仿宋_GB2312"/>
          <w:sz w:val="24"/>
        </w:rPr>
      </w:pPr>
      <w:r>
        <w:rPr>
          <w:rFonts w:ascii="仿宋_GB2312" w:hAnsi="Times New Roman" w:eastAsia="仿宋_GB2312"/>
          <w:sz w:val="24"/>
        </w:rPr>
        <w:t>飞行技术专业已建成</w:t>
      </w:r>
      <w:r>
        <w:rPr>
          <w:rFonts w:hint="eastAsia" w:ascii="仿宋_GB2312" w:hAnsi="Times New Roman" w:eastAsia="仿宋_GB2312"/>
          <w:sz w:val="24"/>
        </w:rPr>
        <w:t>1</w:t>
      </w:r>
      <w:r>
        <w:rPr>
          <w:rFonts w:ascii="仿宋_GB2312" w:hAnsi="Times New Roman" w:eastAsia="仿宋_GB2312"/>
          <w:sz w:val="24"/>
        </w:rPr>
        <w:t>4个专业实验室，实验室面积达2226m</w:t>
      </w:r>
      <w:r>
        <w:rPr>
          <w:rFonts w:ascii="仿宋_GB2312" w:hAnsi="Times New Roman" w:eastAsia="仿宋_GB2312"/>
          <w:sz w:val="24"/>
          <w:vertAlign w:val="superscript"/>
        </w:rPr>
        <w:t>2</w:t>
      </w:r>
      <w:r>
        <w:rPr>
          <w:rFonts w:ascii="仿宋_GB2312" w:hAnsi="Times New Roman" w:eastAsia="仿宋_GB2312"/>
          <w:sz w:val="24"/>
        </w:rPr>
        <w:t>，可支持空中交通管理基础、机载设备、新航行系统、飞行控制系统、飞行原理、航空气象、飞行技术认识实习、飞行模拟器实习等课程的实践教学工作。</w:t>
      </w:r>
      <w:r>
        <w:rPr>
          <w:rFonts w:hint="eastAsia" w:ascii="仿宋_GB2312" w:hAnsi="Times New Roman" w:eastAsia="仿宋_GB2312"/>
          <w:sz w:val="24"/>
        </w:rPr>
        <w:t>本</w:t>
      </w:r>
      <w:r>
        <w:rPr>
          <w:rFonts w:ascii="仿宋_GB2312" w:hAnsi="Times New Roman" w:eastAsia="仿宋_GB2312"/>
          <w:sz w:val="24"/>
        </w:rPr>
        <w:t>年度实验室开放率100%。</w:t>
      </w:r>
      <w:r>
        <w:rPr>
          <w:rFonts w:hint="eastAsia" w:ascii="仿宋_GB2312" w:hAnsi="Times New Roman" w:eastAsia="仿宋_GB2312"/>
          <w:sz w:val="24"/>
        </w:rPr>
        <w:t>专业校内实验室使用情况请见表7。</w:t>
      </w:r>
    </w:p>
    <w:p>
      <w:pPr>
        <w:widowControl/>
        <w:shd w:val="clear" w:color="auto" w:fill="FFFFFF"/>
        <w:spacing w:before="156" w:beforeLines="50" w:line="360" w:lineRule="auto"/>
        <w:ind w:firstLine="357"/>
        <w:jc w:val="center"/>
        <w:rPr>
          <w:rFonts w:ascii="黑体" w:hAnsi="黑体" w:eastAsia="黑体" w:cs="黑体"/>
          <w:b/>
          <w:bCs/>
          <w:color w:val="333333"/>
          <w:kern w:val="0"/>
          <w:sz w:val="24"/>
          <w:szCs w:val="24"/>
        </w:rPr>
      </w:pPr>
      <w:r>
        <w:rPr>
          <w:rFonts w:hint="eastAsia" w:ascii="黑体" w:hAnsi="黑体" w:eastAsia="黑体" w:cs="黑体"/>
          <w:b/>
          <w:bCs/>
          <w:color w:val="333333"/>
          <w:kern w:val="0"/>
          <w:sz w:val="24"/>
          <w:szCs w:val="24"/>
        </w:rPr>
        <w:t>表7 专业校内实验室使用情况（时点）</w:t>
      </w:r>
    </w:p>
    <w:tbl>
      <w:tblPr>
        <w:tblStyle w:val="10"/>
        <w:tblW w:w="8299" w:type="dxa"/>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
      <w:tblGrid>
        <w:gridCol w:w="426"/>
        <w:gridCol w:w="945"/>
        <w:gridCol w:w="944"/>
        <w:gridCol w:w="712"/>
        <w:gridCol w:w="1046"/>
        <w:gridCol w:w="362"/>
        <w:gridCol w:w="1062"/>
        <w:gridCol w:w="1044"/>
        <w:gridCol w:w="712"/>
        <w:gridCol w:w="1046"/>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503" w:hRule="atLeast"/>
          <w:tblHeader/>
        </w:trPr>
        <w:tc>
          <w:tcPr>
            <w:tcW w:w="4073" w:type="dxa"/>
            <w:gridSpan w:val="5"/>
            <w:tcBorders>
              <w:top w:val="single" w:color="000000" w:sz="8" w:space="0"/>
              <w:left w:val="single" w:color="000000" w:sz="8" w:space="0"/>
              <w:bottom w:val="single" w:color="000000" w:sz="8" w:space="0"/>
              <w:right w:val="single" w:color="000000" w:sz="8" w:space="0"/>
            </w:tcBorders>
            <w:shd w:val="clear" w:color="auto" w:fill="4F81BD"/>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基础实验室</w:t>
            </w:r>
          </w:p>
        </w:tc>
        <w:tc>
          <w:tcPr>
            <w:tcW w:w="4226" w:type="dxa"/>
            <w:gridSpan w:val="5"/>
            <w:tcBorders>
              <w:top w:val="single" w:color="000000" w:sz="8" w:space="0"/>
              <w:left w:val="single" w:color="000000" w:sz="8" w:space="0"/>
              <w:bottom w:val="single" w:color="000000" w:sz="8" w:space="0"/>
              <w:right w:val="single" w:color="000000" w:sz="8" w:space="0"/>
            </w:tcBorders>
            <w:shd w:val="clear" w:color="auto" w:fill="4F81BD"/>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专业实验室</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858" w:hRule="atLeast"/>
          <w:tblHeader/>
        </w:trPr>
        <w:tc>
          <w:tcPr>
            <w:tcW w:w="426"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数量</w:t>
            </w:r>
          </w:p>
        </w:tc>
        <w:tc>
          <w:tcPr>
            <w:tcW w:w="945"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承担实验课程门数</w:t>
            </w:r>
          </w:p>
        </w:tc>
        <w:tc>
          <w:tcPr>
            <w:tcW w:w="944"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面积</w:t>
            </w:r>
          </w:p>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（m</w:t>
            </w:r>
            <w:r>
              <w:rPr>
                <w:rFonts w:hint="eastAsia" w:ascii="黑体" w:hAnsi="黑体" w:eastAsia="黑体" w:cs="黑体"/>
                <w:b/>
                <w:bCs/>
                <w:color w:val="FFFFFF" w:themeColor="background1"/>
                <w:vertAlign w:val="superscript"/>
                <w14:textFill>
                  <w14:solidFill>
                    <w14:schemeClr w14:val="bg1"/>
                  </w14:solidFill>
                </w14:textFill>
              </w:rPr>
              <w:t>2</w:t>
            </w:r>
            <w:r>
              <w:rPr>
                <w:rFonts w:hint="eastAsia" w:ascii="黑体" w:hAnsi="黑体" w:eastAsia="黑体" w:cs="黑体"/>
                <w:b/>
                <w:bCs/>
                <w:color w:val="FFFFFF" w:themeColor="background1"/>
                <w14:textFill>
                  <w14:solidFill>
                    <w14:schemeClr w14:val="bg1"/>
                  </w14:solidFill>
                </w14:textFill>
              </w:rPr>
              <w:t>）</w:t>
            </w:r>
          </w:p>
        </w:tc>
        <w:tc>
          <w:tcPr>
            <w:tcW w:w="712"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设备台套数</w:t>
            </w:r>
          </w:p>
        </w:tc>
        <w:tc>
          <w:tcPr>
            <w:tcW w:w="1046"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设备值</w:t>
            </w:r>
          </w:p>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（万元）</w:t>
            </w:r>
          </w:p>
        </w:tc>
        <w:tc>
          <w:tcPr>
            <w:tcW w:w="362"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数量</w:t>
            </w:r>
          </w:p>
        </w:tc>
        <w:tc>
          <w:tcPr>
            <w:tcW w:w="1062"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承担实验课程门数</w:t>
            </w:r>
          </w:p>
        </w:tc>
        <w:tc>
          <w:tcPr>
            <w:tcW w:w="1044"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面积</w:t>
            </w:r>
          </w:p>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（m</w:t>
            </w:r>
            <w:r>
              <w:rPr>
                <w:rFonts w:hint="eastAsia" w:ascii="黑体" w:hAnsi="黑体" w:eastAsia="黑体" w:cs="黑体"/>
                <w:b/>
                <w:bCs/>
                <w:color w:val="FFFFFF" w:themeColor="background1"/>
                <w:vertAlign w:val="superscript"/>
                <w14:textFill>
                  <w14:solidFill>
                    <w14:schemeClr w14:val="bg1"/>
                  </w14:solidFill>
                </w14:textFill>
              </w:rPr>
              <w:t>2</w:t>
            </w:r>
            <w:r>
              <w:rPr>
                <w:rFonts w:hint="eastAsia" w:ascii="黑体" w:hAnsi="黑体" w:eastAsia="黑体" w:cs="黑体"/>
                <w:b/>
                <w:bCs/>
                <w:color w:val="FFFFFF" w:themeColor="background1"/>
                <w14:textFill>
                  <w14:solidFill>
                    <w14:schemeClr w14:val="bg1"/>
                  </w14:solidFill>
                </w14:textFill>
              </w:rPr>
              <w:t>）</w:t>
            </w:r>
          </w:p>
        </w:tc>
        <w:tc>
          <w:tcPr>
            <w:tcW w:w="712"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设备台套数</w:t>
            </w:r>
          </w:p>
        </w:tc>
        <w:tc>
          <w:tcPr>
            <w:tcW w:w="1046" w:type="dxa"/>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设备值</w:t>
            </w:r>
          </w:p>
          <w:p>
            <w:pPr>
              <w:spacing w:line="400" w:lineRule="exact"/>
              <w:jc w:val="center"/>
              <w:rPr>
                <w:rFonts w:ascii="黑体" w:hAnsi="黑体" w:eastAsia="黑体" w:cs="黑体"/>
                <w:b/>
                <w:bCs/>
                <w:color w:val="FFFFFF" w:themeColor="background1"/>
                <w14:textFill>
                  <w14:solidFill>
                    <w14:schemeClr w14:val="bg1"/>
                  </w14:solidFill>
                </w14:textFill>
              </w:rPr>
            </w:pPr>
            <w:r>
              <w:rPr>
                <w:rFonts w:hint="eastAsia" w:ascii="黑体" w:hAnsi="黑体" w:eastAsia="黑体" w:cs="黑体"/>
                <w:b/>
                <w:bCs/>
                <w:color w:val="FFFFFF" w:themeColor="background1"/>
                <w14:textFill>
                  <w14:solidFill>
                    <w14:schemeClr w14:val="bg1"/>
                  </w14:solidFill>
                </w14:textFill>
              </w:rPr>
              <w:t>（万元）</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518" w:hRule="atLeast"/>
        </w:trPr>
        <w:tc>
          <w:tcPr>
            <w:tcW w:w="4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color w:val="000000"/>
              </w:rPr>
            </w:pPr>
            <w:r>
              <w:rPr>
                <w:rFonts w:hint="eastAsia" w:ascii="黑体" w:hAnsi="黑体" w:eastAsia="黑体" w:cs="黑体"/>
                <w:color w:val="000000"/>
              </w:rPr>
              <w:t>0</w:t>
            </w:r>
          </w:p>
        </w:tc>
        <w:tc>
          <w:tcPr>
            <w:tcW w:w="9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color w:val="000000"/>
              </w:rPr>
            </w:pPr>
            <w:r>
              <w:rPr>
                <w:rFonts w:hint="eastAsia" w:ascii="黑体" w:hAnsi="黑体" w:eastAsia="黑体" w:cs="黑体"/>
                <w:color w:val="000000"/>
              </w:rPr>
              <w:t>0</w:t>
            </w:r>
          </w:p>
        </w:tc>
        <w:tc>
          <w:tcPr>
            <w:tcW w:w="9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color w:val="000000"/>
              </w:rPr>
            </w:pPr>
            <w:r>
              <w:rPr>
                <w:rFonts w:hint="eastAsia" w:ascii="黑体" w:hAnsi="黑体" w:eastAsia="黑体" w:cs="黑体"/>
                <w:color w:val="000000"/>
              </w:rPr>
              <w:t>0</w:t>
            </w:r>
          </w:p>
        </w:tc>
        <w:tc>
          <w:tcPr>
            <w:tcW w:w="7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color w:val="000000"/>
              </w:rPr>
            </w:pPr>
            <w:r>
              <w:rPr>
                <w:rFonts w:hint="eastAsia" w:ascii="黑体" w:hAnsi="黑体" w:eastAsia="黑体" w:cs="黑体"/>
                <w:color w:val="000000"/>
              </w:rPr>
              <w:t>0</w:t>
            </w:r>
          </w:p>
        </w:tc>
        <w:tc>
          <w:tcPr>
            <w:tcW w:w="10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color w:val="000000"/>
              </w:rPr>
            </w:pPr>
            <w:r>
              <w:rPr>
                <w:rFonts w:hint="eastAsia" w:ascii="黑体" w:hAnsi="黑体" w:eastAsia="黑体" w:cs="黑体"/>
                <w:color w:val="000000"/>
              </w:rPr>
              <w:t>0</w:t>
            </w:r>
          </w:p>
        </w:tc>
        <w:tc>
          <w:tcPr>
            <w:tcW w:w="3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color w:val="000000"/>
              </w:rPr>
            </w:pPr>
            <w:r>
              <w:rPr>
                <w:rFonts w:hint="eastAsia" w:ascii="黑体" w:hAnsi="黑体" w:eastAsia="黑体" w:cs="黑体"/>
                <w:color w:val="000000"/>
              </w:rPr>
              <w:t>1</w:t>
            </w:r>
            <w:r>
              <w:rPr>
                <w:rFonts w:ascii="黑体" w:hAnsi="黑体" w:eastAsia="黑体" w:cs="黑体"/>
                <w:color w:val="000000"/>
              </w:rPr>
              <w:t>4</w:t>
            </w:r>
          </w:p>
        </w:tc>
        <w:tc>
          <w:tcPr>
            <w:tcW w:w="10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color w:val="000000"/>
              </w:rPr>
            </w:pPr>
            <w:r>
              <w:rPr>
                <w:rFonts w:hint="eastAsia" w:ascii="黑体" w:hAnsi="黑体" w:eastAsia="黑体" w:cs="黑体"/>
                <w:color w:val="000000"/>
              </w:rPr>
              <w:t>1</w:t>
            </w:r>
            <w:r>
              <w:rPr>
                <w:rFonts w:ascii="黑体" w:hAnsi="黑体" w:eastAsia="黑体" w:cs="黑体"/>
                <w:color w:val="000000"/>
              </w:rPr>
              <w:t>3</w:t>
            </w:r>
          </w:p>
        </w:tc>
        <w:tc>
          <w:tcPr>
            <w:tcW w:w="10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color w:val="000000"/>
              </w:rPr>
            </w:pPr>
            <w:r>
              <w:rPr>
                <w:rFonts w:ascii="Times New Roman" w:hAnsi="Times New Roman" w:eastAsia="楷体"/>
                <w:szCs w:val="21"/>
              </w:rPr>
              <w:t>2226m</w:t>
            </w:r>
            <w:r>
              <w:rPr>
                <w:rFonts w:ascii="Times New Roman" w:hAnsi="Times New Roman" w:eastAsia="楷体"/>
                <w:sz w:val="28"/>
                <w:szCs w:val="28"/>
                <w:vertAlign w:val="superscript"/>
              </w:rPr>
              <w:t>2</w:t>
            </w:r>
          </w:p>
        </w:tc>
        <w:tc>
          <w:tcPr>
            <w:tcW w:w="7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color w:val="000000"/>
              </w:rPr>
            </w:pPr>
            <w:r>
              <w:rPr>
                <w:rFonts w:hint="eastAsia" w:ascii="黑体" w:hAnsi="黑体" w:eastAsia="黑体" w:cs="黑体"/>
                <w:color w:val="000000"/>
              </w:rPr>
              <w:t>1</w:t>
            </w:r>
            <w:r>
              <w:rPr>
                <w:rFonts w:ascii="黑体" w:hAnsi="黑体" w:eastAsia="黑体" w:cs="黑体"/>
                <w:color w:val="000000"/>
              </w:rPr>
              <w:t>43</w:t>
            </w:r>
          </w:p>
        </w:tc>
        <w:tc>
          <w:tcPr>
            <w:tcW w:w="10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color w:val="000000"/>
              </w:rPr>
            </w:pPr>
            <w:r>
              <w:rPr>
                <w:rFonts w:ascii="Times New Roman" w:hAnsi="Times New Roman" w:eastAsia="楷体"/>
                <w:color w:val="000000"/>
                <w:szCs w:val="21"/>
              </w:rPr>
              <w:t>1538.9</w:t>
            </w:r>
          </w:p>
        </w:tc>
      </w:tr>
    </w:tbl>
    <w:p>
      <w:pPr>
        <w:widowControl/>
        <w:shd w:val="clear" w:color="auto" w:fill="FFFFFF"/>
        <w:spacing w:line="360" w:lineRule="auto"/>
        <w:jc w:val="left"/>
        <w:rPr>
          <w:rFonts w:ascii="黑体" w:hAnsi="黑体" w:eastAsia="黑体" w:cs="宋体"/>
          <w:b/>
          <w:bCs/>
          <w:color w:val="333333"/>
          <w:kern w:val="0"/>
          <w:sz w:val="24"/>
          <w:szCs w:val="24"/>
        </w:rPr>
      </w:pPr>
    </w:p>
    <w:p>
      <w:pPr>
        <w:widowControl/>
        <w:shd w:val="clear" w:color="auto" w:fill="FFFFFF"/>
        <w:spacing w:line="360" w:lineRule="auto"/>
        <w:ind w:firstLine="357"/>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5. 校外实习基地建设与利用情况。</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本专业与上海航宇科普中心、索航飞行俱乐部等单位签有校外实习实践协议，是本专业社会实践以及校外实习教学的主要场所。2</w:t>
      </w:r>
      <w:r>
        <w:rPr>
          <w:rFonts w:ascii="仿宋_GB2312" w:hAnsi="Times New Roman" w:eastAsia="仿宋_GB2312"/>
          <w:sz w:val="24"/>
        </w:rPr>
        <w:t>021</w:t>
      </w:r>
      <w:r>
        <w:rPr>
          <w:rFonts w:hint="eastAsia" w:ascii="仿宋_GB2312" w:hAnsi="Times New Roman" w:eastAsia="仿宋_GB2312"/>
          <w:sz w:val="24"/>
        </w:rPr>
        <w:t>级共计4</w:t>
      </w:r>
      <w:r>
        <w:rPr>
          <w:rFonts w:ascii="仿宋_GB2312" w:hAnsi="Times New Roman" w:eastAsia="仿宋_GB2312"/>
          <w:sz w:val="24"/>
        </w:rPr>
        <w:t>0</w:t>
      </w:r>
      <w:r>
        <w:rPr>
          <w:rFonts w:hint="eastAsia" w:ascii="仿宋_GB2312" w:hAnsi="Times New Roman" w:eastAsia="仿宋_GB2312"/>
          <w:sz w:val="24"/>
        </w:rPr>
        <w:t>名学生开展飞行技术认识实践。</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在校企协同办学的基础上，现有国内外四川龙昊、新疆天翔、河北致远、澳大利亚CAE、美国wayman等5个航校作为本专业实际飞行的训练基地。2</w:t>
      </w:r>
      <w:r>
        <w:rPr>
          <w:rFonts w:ascii="仿宋_GB2312" w:hAnsi="Times New Roman" w:eastAsia="仿宋_GB2312"/>
          <w:sz w:val="24"/>
        </w:rPr>
        <w:t>022</w:t>
      </w:r>
      <w:r>
        <w:rPr>
          <w:rFonts w:hint="eastAsia" w:ascii="仿宋_GB2312" w:hAnsi="Times New Roman" w:eastAsia="仿宋_GB2312"/>
          <w:sz w:val="24"/>
        </w:rPr>
        <w:t>年度，201</w:t>
      </w:r>
      <w:r>
        <w:rPr>
          <w:rFonts w:ascii="仿宋_GB2312" w:hAnsi="Times New Roman" w:eastAsia="仿宋_GB2312"/>
          <w:sz w:val="24"/>
        </w:rPr>
        <w:t>8</w:t>
      </w:r>
      <w:r>
        <w:rPr>
          <w:rFonts w:hint="eastAsia" w:ascii="仿宋_GB2312" w:hAnsi="Times New Roman" w:eastAsia="仿宋_GB2312"/>
          <w:sz w:val="24"/>
        </w:rPr>
        <w:t>级及2019级共计1</w:t>
      </w:r>
      <w:r>
        <w:rPr>
          <w:rFonts w:ascii="仿宋_GB2312" w:hAnsi="Times New Roman" w:eastAsia="仿宋_GB2312"/>
          <w:sz w:val="24"/>
        </w:rPr>
        <w:t>50</w:t>
      </w:r>
      <w:r>
        <w:rPr>
          <w:rFonts w:hint="eastAsia" w:ascii="仿宋_GB2312" w:hAnsi="Times New Roman" w:eastAsia="仿宋_GB2312"/>
          <w:sz w:val="24"/>
        </w:rPr>
        <w:t>余名学生前往实习基地开展飞行训练。</w:t>
      </w:r>
    </w:p>
    <w:p>
      <w:pPr>
        <w:widowControl/>
        <w:shd w:val="clear" w:color="auto" w:fill="FFFFFF"/>
        <w:spacing w:line="360" w:lineRule="auto"/>
        <w:ind w:firstLine="357"/>
        <w:jc w:val="left"/>
        <w:rPr>
          <w:rFonts w:ascii="黑体" w:hAnsi="黑体" w:eastAsia="黑体" w:cs="宋体"/>
          <w:b/>
          <w:bCs/>
          <w:color w:val="333333"/>
          <w:kern w:val="0"/>
          <w:sz w:val="24"/>
          <w:szCs w:val="24"/>
        </w:rPr>
      </w:pPr>
      <w:r>
        <w:rPr>
          <w:rFonts w:hint="eastAsia" w:ascii="黑体" w:hAnsi="黑体" w:eastAsia="黑体" w:cs="宋体"/>
          <w:b/>
          <w:bCs/>
          <w:color w:val="333333"/>
          <w:kern w:val="0"/>
          <w:sz w:val="24"/>
          <w:szCs w:val="24"/>
        </w:rPr>
        <w:t>6. 学生毕业论文情况（选题、指导、答辩、论文质量等）</w:t>
      </w:r>
    </w:p>
    <w:p>
      <w:pPr>
        <w:widowControl/>
        <w:shd w:val="clear" w:color="auto" w:fill="FFFFFF"/>
        <w:spacing w:line="360" w:lineRule="auto"/>
        <w:ind w:firstLine="480" w:firstLineChars="200"/>
        <w:jc w:val="left"/>
        <w:rPr>
          <w:rFonts w:ascii="仿宋_GB2312" w:hAnsi="Times New Roman" w:eastAsia="仿宋_GB2312"/>
          <w:sz w:val="24"/>
        </w:rPr>
      </w:pPr>
      <w:r>
        <w:rPr>
          <w:rFonts w:hint="eastAsia" w:ascii="仿宋_GB2312" w:hAnsi="Times New Roman" w:eastAsia="仿宋_GB2312"/>
          <w:sz w:val="24"/>
        </w:rPr>
        <w:t>鉴于飞行实践的重要性，本专业毕业设计（论文）题目实际题比例达9</w:t>
      </w:r>
      <w:r>
        <w:rPr>
          <w:rFonts w:ascii="仿宋_GB2312" w:hAnsi="Times New Roman" w:eastAsia="仿宋_GB2312"/>
          <w:sz w:val="24"/>
        </w:rPr>
        <w:t>8.7</w:t>
      </w:r>
      <w:r>
        <w:rPr>
          <w:rFonts w:hint="eastAsia" w:ascii="仿宋_GB2312" w:hAnsi="Times New Roman" w:eastAsia="仿宋_GB2312"/>
          <w:sz w:val="24"/>
        </w:rPr>
        <w:t>%，由企业导师与校内导师共同出题、参与论文指导。本学年，本专业教师指导学生人数平均为5人，指导教师每周至少1次对学生毕业论文开展情况进行指导检查，学生通过毕业设计（论文）记录本记录每周工作及教师指导情况，并由指导教师批阅签名。期间，学生须接受2次评阅教师的检查，以确保论文的进度和质量。</w:t>
      </w:r>
    </w:p>
    <w:p>
      <w:pPr>
        <w:widowControl/>
        <w:shd w:val="clear" w:color="auto" w:fill="FFFFFF"/>
        <w:spacing w:line="360" w:lineRule="auto"/>
        <w:ind w:firstLine="480" w:firstLineChars="200"/>
        <w:jc w:val="left"/>
        <w:rPr>
          <w:rFonts w:ascii="仿宋_GB2312" w:hAnsi="Times New Roman" w:eastAsia="仿宋_GB2312"/>
          <w:sz w:val="24"/>
        </w:rPr>
      </w:pPr>
      <w:r>
        <w:rPr>
          <w:rFonts w:hint="eastAsia" w:ascii="仿宋_GB2312" w:hAnsi="Times New Roman" w:eastAsia="仿宋_GB2312"/>
          <w:sz w:val="24"/>
        </w:rPr>
        <w:t>受新冠疫情影响，2</w:t>
      </w:r>
      <w:r>
        <w:rPr>
          <w:rFonts w:ascii="仿宋_GB2312" w:hAnsi="Times New Roman" w:eastAsia="仿宋_GB2312"/>
          <w:sz w:val="24"/>
        </w:rPr>
        <w:t>022</w:t>
      </w:r>
      <w:r>
        <w:rPr>
          <w:rFonts w:hint="eastAsia" w:ascii="仿宋_GB2312" w:hAnsi="Times New Roman" w:eastAsia="仿宋_GB2312"/>
          <w:sz w:val="24"/>
        </w:rPr>
        <w:t>年度毕业论文答辩主要采用线上形式进行。学生通过指导老师和评阅老师的检查以及论文相似性检测之后，方可获得答辩资格。答辩时，每位学生答辩时间不少于20分钟，包括答辩学生陈述和答辩提问。答辩时，学生需记录答辩组提出的问题，并填写《答辩记录及评分汇总表》。</w:t>
      </w:r>
    </w:p>
    <w:p>
      <w:pPr>
        <w:widowControl/>
        <w:shd w:val="clear" w:color="auto" w:fill="FFFFFF"/>
        <w:spacing w:line="360" w:lineRule="auto"/>
        <w:ind w:firstLine="480" w:firstLineChars="200"/>
        <w:jc w:val="left"/>
        <w:rPr>
          <w:rFonts w:ascii="仿宋_GB2312" w:hAnsi="Times New Roman" w:eastAsia="仿宋_GB2312"/>
          <w:sz w:val="24"/>
        </w:rPr>
      </w:pPr>
      <w:r>
        <w:rPr>
          <w:rFonts w:hint="eastAsia" w:ascii="仿宋_GB2312" w:hAnsi="Times New Roman" w:eastAsia="仿宋_GB2312"/>
          <w:sz w:val="24"/>
        </w:rPr>
        <w:t>通过毕业论文写作，学生能综合运用所学理论知识，结合飞行训练实践，解决飞行驾驶及其相关领域的问题。毕业论文情况见表8。</w:t>
      </w:r>
    </w:p>
    <w:p>
      <w:pPr>
        <w:widowControl/>
        <w:shd w:val="clear" w:color="auto" w:fill="FFFFFF"/>
        <w:spacing w:before="156" w:beforeLines="50" w:line="360" w:lineRule="auto"/>
        <w:ind w:firstLine="357"/>
        <w:jc w:val="center"/>
        <w:rPr>
          <w:rFonts w:ascii="黑体" w:hAnsi="黑体" w:eastAsia="黑体" w:cs="黑体"/>
          <w:b/>
          <w:bCs/>
          <w:color w:val="333333"/>
          <w:kern w:val="0"/>
          <w:sz w:val="24"/>
          <w:szCs w:val="24"/>
        </w:rPr>
      </w:pPr>
      <w:r>
        <w:rPr>
          <w:rFonts w:hint="eastAsia" w:ascii="黑体" w:hAnsi="黑体" w:eastAsia="黑体" w:cs="黑体"/>
          <w:b/>
          <w:bCs/>
          <w:color w:val="333333"/>
          <w:kern w:val="0"/>
          <w:sz w:val="24"/>
          <w:szCs w:val="24"/>
        </w:rPr>
        <w:t>表8 毕业综合训练情况（时点）</w:t>
      </w:r>
    </w:p>
    <w:tbl>
      <w:tblPr>
        <w:tblStyle w:val="10"/>
        <w:tblW w:w="4998" w:type="pct"/>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autofit"/>
        <w:tblCellMar>
          <w:top w:w="15" w:type="dxa"/>
          <w:left w:w="15" w:type="dxa"/>
          <w:bottom w:w="15" w:type="dxa"/>
          <w:right w:w="15" w:type="dxa"/>
        </w:tblCellMar>
      </w:tblPr>
      <w:tblGrid>
        <w:gridCol w:w="737"/>
        <w:gridCol w:w="3359"/>
        <w:gridCol w:w="822"/>
        <w:gridCol w:w="714"/>
        <w:gridCol w:w="717"/>
        <w:gridCol w:w="1984"/>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50" w:hRule="atLeast"/>
          <w:tblHeader/>
        </w:trPr>
        <w:tc>
          <w:tcPr>
            <w:tcW w:w="442" w:type="pct"/>
            <w:vMerge w:val="restart"/>
            <w:tcBorders>
              <w:top w:val="single" w:color="000000" w:sz="8" w:space="0"/>
              <w:left w:val="single" w:color="000000" w:sz="8" w:space="0"/>
              <w:bottom w:val="single" w:color="000000" w:sz="8" w:space="0"/>
              <w:right w:val="single" w:color="000000" w:sz="8" w:space="0"/>
            </w:tcBorders>
            <w:shd w:val="clear" w:color="auto" w:fill="4F81BD"/>
            <w:vAlign w:val="center"/>
          </w:tcPr>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课题数</w:t>
            </w:r>
          </w:p>
        </w:tc>
        <w:tc>
          <w:tcPr>
            <w:tcW w:w="2015" w:type="pct"/>
            <w:vMerge w:val="restart"/>
            <w:tcBorders>
              <w:top w:val="single" w:color="000000" w:sz="8" w:space="0"/>
              <w:left w:val="single" w:color="000000" w:sz="8" w:space="0"/>
              <w:bottom w:val="single" w:color="000000" w:sz="8" w:space="0"/>
              <w:right w:val="single" w:color="000000" w:sz="8" w:space="0"/>
            </w:tcBorders>
            <w:shd w:val="clear" w:color="auto" w:fill="4F81BD"/>
            <w:vAlign w:val="center"/>
          </w:tcPr>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在实验、实习、工程实践和社会调查等社会实践中完成数</w:t>
            </w:r>
          </w:p>
        </w:tc>
        <w:tc>
          <w:tcPr>
            <w:tcW w:w="493" w:type="pct"/>
            <w:vMerge w:val="restart"/>
            <w:tcBorders>
              <w:top w:val="single" w:color="000000" w:sz="8" w:space="0"/>
              <w:left w:val="single" w:color="000000" w:sz="8" w:space="0"/>
              <w:bottom w:val="single" w:color="000000" w:sz="8" w:space="0"/>
              <w:right w:val="single" w:color="000000" w:sz="8" w:space="0"/>
            </w:tcBorders>
            <w:shd w:val="clear" w:color="auto" w:fill="4F81BD"/>
            <w:vAlign w:val="center"/>
          </w:tcPr>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比例</w:t>
            </w:r>
          </w:p>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w:t>
            </w:r>
          </w:p>
        </w:tc>
        <w:tc>
          <w:tcPr>
            <w:tcW w:w="858" w:type="pct"/>
            <w:gridSpan w:val="2"/>
            <w:tcBorders>
              <w:top w:val="single" w:color="000000" w:sz="8" w:space="0"/>
              <w:left w:val="single" w:color="000000" w:sz="8" w:space="0"/>
              <w:bottom w:val="single" w:color="000000" w:sz="8" w:space="0"/>
              <w:right w:val="single" w:color="000000" w:sz="8" w:space="0"/>
            </w:tcBorders>
            <w:shd w:val="clear" w:color="auto" w:fill="4F81BD"/>
            <w:vAlign w:val="center"/>
          </w:tcPr>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指导教师数</w:t>
            </w:r>
          </w:p>
        </w:tc>
        <w:tc>
          <w:tcPr>
            <w:tcW w:w="1190" w:type="pct"/>
            <w:vMerge w:val="restart"/>
            <w:tcBorders>
              <w:top w:val="single" w:color="000000" w:sz="8" w:space="0"/>
              <w:left w:val="single" w:color="000000" w:sz="8" w:space="0"/>
              <w:bottom w:val="single" w:color="000000" w:sz="8" w:space="0"/>
              <w:right w:val="single" w:color="000000" w:sz="8" w:space="0"/>
            </w:tcBorders>
            <w:shd w:val="clear" w:color="auto" w:fill="4F81BD"/>
            <w:vAlign w:val="center"/>
          </w:tcPr>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每名校内教师平均指导毕业生数</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50" w:hRule="atLeast"/>
          <w:tblHeader/>
        </w:trPr>
        <w:tc>
          <w:tcPr>
            <w:tcW w:w="442"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rPr>
                <w:rFonts w:ascii="黑体" w:hAnsi="黑体" w:eastAsia="黑体" w:cs="黑体"/>
                <w:b/>
                <w:bCs/>
                <w:color w:val="000000"/>
                <w:sz w:val="28"/>
                <w:szCs w:val="28"/>
              </w:rPr>
            </w:pPr>
          </w:p>
        </w:tc>
        <w:tc>
          <w:tcPr>
            <w:tcW w:w="2015"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rPr>
                <w:rFonts w:ascii="黑体" w:hAnsi="黑体" w:eastAsia="黑体" w:cs="黑体"/>
                <w:b/>
                <w:bCs/>
                <w:color w:val="000000"/>
                <w:sz w:val="28"/>
                <w:szCs w:val="28"/>
              </w:rPr>
            </w:pPr>
          </w:p>
        </w:tc>
        <w:tc>
          <w:tcPr>
            <w:tcW w:w="493"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rPr>
                <w:rFonts w:ascii="黑体" w:hAnsi="黑体" w:eastAsia="黑体" w:cs="黑体"/>
                <w:b/>
                <w:bCs/>
                <w:color w:val="000000"/>
                <w:sz w:val="28"/>
                <w:szCs w:val="28"/>
              </w:rPr>
            </w:pPr>
          </w:p>
        </w:tc>
        <w:tc>
          <w:tcPr>
            <w:tcW w:w="428" w:type="pct"/>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校内 教师</w:t>
            </w:r>
          </w:p>
        </w:tc>
        <w:tc>
          <w:tcPr>
            <w:tcW w:w="429" w:type="pct"/>
            <w:tcBorders>
              <w:top w:val="single" w:color="000000" w:sz="8" w:space="0"/>
              <w:left w:val="single" w:color="000000" w:sz="8" w:space="0"/>
              <w:bottom w:val="single" w:color="000000" w:sz="8" w:space="0"/>
              <w:right w:val="single" w:color="000000" w:sz="8" w:space="0"/>
            </w:tcBorders>
            <w:shd w:val="clear" w:color="auto" w:fill="4F81BD" w:themeFill="accent1"/>
            <w:vAlign w:val="center"/>
          </w:tcPr>
          <w:p>
            <w:pPr>
              <w:spacing w:line="400" w:lineRule="exact"/>
              <w:jc w:val="center"/>
              <w:rPr>
                <w:rFonts w:ascii="黑体" w:hAnsi="黑体" w:eastAsia="黑体" w:cs="黑体"/>
                <w:b/>
                <w:bCs/>
                <w:color w:val="FFFFFF" w:themeColor="background1"/>
                <w:sz w:val="22"/>
                <w:szCs w:val="24"/>
                <w14:textFill>
                  <w14:solidFill>
                    <w14:schemeClr w14:val="bg1"/>
                  </w14:solidFill>
                </w14:textFill>
              </w:rPr>
            </w:pPr>
            <w:r>
              <w:rPr>
                <w:rFonts w:hint="eastAsia" w:ascii="黑体" w:hAnsi="黑体" w:eastAsia="黑体" w:cs="黑体"/>
                <w:b/>
                <w:bCs/>
                <w:color w:val="FFFFFF" w:themeColor="background1"/>
                <w:sz w:val="22"/>
                <w:szCs w:val="24"/>
                <w14:textFill>
                  <w14:solidFill>
                    <w14:schemeClr w14:val="bg1"/>
                  </w14:solidFill>
                </w14:textFill>
              </w:rPr>
              <w:t>外聘 教师</w:t>
            </w:r>
          </w:p>
        </w:tc>
        <w:tc>
          <w:tcPr>
            <w:tcW w:w="1190" w:type="pct"/>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rPr>
                <w:rFonts w:ascii="黑体" w:hAnsi="黑体" w:eastAsia="黑体" w:cs="黑体"/>
                <w:b/>
                <w:bCs/>
                <w:color w:val="000000"/>
                <w:sz w:val="28"/>
                <w:szCs w:val="28"/>
              </w:rPr>
            </w:pP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442"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b/>
                <w:bCs/>
                <w:color w:val="000000"/>
                <w:sz w:val="22"/>
                <w:szCs w:val="24"/>
              </w:rPr>
            </w:pPr>
            <w:r>
              <w:rPr>
                <w:rFonts w:ascii="黑体" w:hAnsi="黑体" w:eastAsia="黑体" w:cs="黑体"/>
                <w:b/>
                <w:bCs/>
                <w:color w:val="000000"/>
                <w:sz w:val="22"/>
                <w:szCs w:val="24"/>
              </w:rPr>
              <w:t>77</w:t>
            </w:r>
          </w:p>
        </w:tc>
        <w:tc>
          <w:tcPr>
            <w:tcW w:w="2015"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b/>
                <w:bCs/>
                <w:color w:val="000000"/>
                <w:sz w:val="22"/>
                <w:szCs w:val="24"/>
              </w:rPr>
            </w:pPr>
            <w:r>
              <w:rPr>
                <w:rFonts w:hint="eastAsia" w:ascii="黑体" w:hAnsi="黑体" w:eastAsia="黑体" w:cs="黑体"/>
                <w:b/>
                <w:bCs/>
                <w:color w:val="000000"/>
                <w:sz w:val="22"/>
                <w:szCs w:val="24"/>
              </w:rPr>
              <w:t>7</w:t>
            </w:r>
            <w:r>
              <w:rPr>
                <w:rFonts w:ascii="黑体" w:hAnsi="黑体" w:eastAsia="黑体" w:cs="黑体"/>
                <w:b/>
                <w:bCs/>
                <w:color w:val="000000"/>
                <w:sz w:val="22"/>
                <w:szCs w:val="24"/>
              </w:rPr>
              <w:t>6</w:t>
            </w:r>
          </w:p>
        </w:tc>
        <w:tc>
          <w:tcPr>
            <w:tcW w:w="49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b/>
                <w:bCs/>
                <w:color w:val="000000"/>
                <w:sz w:val="22"/>
                <w:szCs w:val="24"/>
              </w:rPr>
            </w:pPr>
            <w:r>
              <w:rPr>
                <w:rFonts w:hint="eastAsia" w:ascii="黑体" w:hAnsi="黑体" w:eastAsia="黑体" w:cs="黑体"/>
                <w:b/>
                <w:bCs/>
                <w:color w:val="000000"/>
                <w:sz w:val="22"/>
                <w:szCs w:val="24"/>
              </w:rPr>
              <w:t>9</w:t>
            </w:r>
            <w:r>
              <w:rPr>
                <w:rFonts w:ascii="黑体" w:hAnsi="黑体" w:eastAsia="黑体" w:cs="黑体"/>
                <w:b/>
                <w:bCs/>
                <w:color w:val="000000"/>
                <w:sz w:val="22"/>
                <w:szCs w:val="24"/>
              </w:rPr>
              <w:t>8.7</w:t>
            </w:r>
          </w:p>
        </w:tc>
        <w:tc>
          <w:tcPr>
            <w:tcW w:w="428"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b/>
                <w:bCs/>
                <w:color w:val="000000"/>
                <w:sz w:val="22"/>
                <w:szCs w:val="24"/>
              </w:rPr>
            </w:pPr>
            <w:r>
              <w:rPr>
                <w:rFonts w:hint="eastAsia" w:ascii="黑体" w:hAnsi="黑体" w:eastAsia="黑体" w:cs="黑体"/>
                <w:b/>
                <w:bCs/>
                <w:color w:val="000000"/>
                <w:sz w:val="22"/>
                <w:szCs w:val="24"/>
              </w:rPr>
              <w:t>1</w:t>
            </w:r>
            <w:r>
              <w:rPr>
                <w:rFonts w:ascii="黑体" w:hAnsi="黑体" w:eastAsia="黑体" w:cs="黑体"/>
                <w:b/>
                <w:bCs/>
                <w:color w:val="000000"/>
                <w:sz w:val="22"/>
                <w:szCs w:val="24"/>
              </w:rPr>
              <w:t>5</w:t>
            </w:r>
          </w:p>
        </w:tc>
        <w:tc>
          <w:tcPr>
            <w:tcW w:w="42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b/>
                <w:bCs/>
                <w:color w:val="000000"/>
                <w:sz w:val="22"/>
                <w:szCs w:val="24"/>
              </w:rPr>
            </w:pPr>
            <w:r>
              <w:rPr>
                <w:rFonts w:hint="eastAsia" w:ascii="黑体" w:hAnsi="黑体" w:eastAsia="黑体" w:cs="黑体"/>
                <w:b/>
                <w:bCs/>
                <w:color w:val="000000"/>
                <w:sz w:val="22"/>
                <w:szCs w:val="24"/>
              </w:rPr>
              <w:t>0</w:t>
            </w:r>
          </w:p>
        </w:tc>
        <w:tc>
          <w:tcPr>
            <w:tcW w:w="1190"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黑体" w:hAnsi="黑体" w:eastAsia="黑体" w:cs="黑体"/>
                <w:b/>
                <w:bCs/>
                <w:color w:val="000000"/>
                <w:sz w:val="22"/>
                <w:szCs w:val="24"/>
              </w:rPr>
            </w:pPr>
            <w:r>
              <w:rPr>
                <w:rFonts w:hint="eastAsia" w:ascii="黑体" w:hAnsi="黑体" w:eastAsia="黑体" w:cs="黑体"/>
                <w:b/>
                <w:bCs/>
                <w:color w:val="000000"/>
                <w:sz w:val="22"/>
                <w:szCs w:val="24"/>
              </w:rPr>
              <w:t>5</w:t>
            </w:r>
          </w:p>
        </w:tc>
      </w:tr>
    </w:tbl>
    <w:p>
      <w:pPr>
        <w:widowControl/>
        <w:shd w:val="clear" w:color="auto" w:fill="FFFFFF"/>
        <w:ind w:firstLine="357"/>
        <w:jc w:val="left"/>
        <w:rPr>
          <w:rFonts w:ascii="微软雅黑" w:hAnsi="微软雅黑" w:eastAsia="微软雅黑" w:cs="宋体"/>
          <w:color w:val="333333"/>
          <w:kern w:val="0"/>
          <w:sz w:val="15"/>
          <w:szCs w:val="15"/>
        </w:rPr>
      </w:pPr>
    </w:p>
    <w:p>
      <w:pPr>
        <w:pStyle w:val="3"/>
      </w:pPr>
      <w:bookmarkStart w:id="10" w:name="_Toc2629"/>
      <w:r>
        <w:rPr>
          <w:rFonts w:hint="eastAsia"/>
        </w:rPr>
        <w:t>（三）创新创业教育</w:t>
      </w:r>
      <w:bookmarkEnd w:id="10"/>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本专业重视学生科技创新工作，不断寻找学生科技创新活动和航空航天学科人才培养的有机结合点，以科技创新活动提供平台，以专业学科背景提供支撑，两者结合，相互促进，既强化了学生科技创新工作的研究性、专业性，又提升了学科人才培养工作的实践性、实效性，探索出了航空科技创新人才培养的新模式，为学院建设不断注入新活力。通过“课程化”、“学分化”和“项目化”重构第二课堂，延展实践教学边界，搭建课内课外相结合的实践能力提升育人平台。</w:t>
      </w:r>
    </w:p>
    <w:p>
      <w:pPr>
        <w:spacing w:line="360" w:lineRule="auto"/>
        <w:ind w:firstLine="480" w:firstLineChars="200"/>
        <w:rPr>
          <w:rFonts w:ascii="仿宋_GB2312" w:hAnsi="Times New Roman" w:eastAsia="仿宋_GB2312"/>
          <w:sz w:val="24"/>
        </w:rPr>
      </w:pPr>
      <w:r>
        <w:rPr>
          <w:rFonts w:hint="eastAsia" w:ascii="仿宋_GB2312" w:hAnsi="Times New Roman" w:eastAsia="仿宋_GB2312"/>
          <w:sz w:val="24"/>
        </w:rPr>
        <w:t>飞行技术系开设2门创新类公共实践选修课，2项创新实验项目。学生日常在航模队、模拟飞行社、航空专业英语角、模拟面试训练营等载体中得到实践、创新等综合能力的提升，又借助大学生创新实践项目、学科大赛、专业实践竞赛等活动检验专业素质与综合素养学习成效。2022年度专任教师获批指导大学生创新项目共计4项，其中国家级1项，上海市2项，校级1项。同时本专业教师指导学生多次参与国家级学科专业竞赛，且获奖率100%。先后获得全国高校模拟飞行锦标赛、上海市模拟飞行锦标赛、中国模拟飞行全民线上打榜赛、全国大学生英语竞赛等一等奖等奖项。</w:t>
      </w:r>
    </w:p>
    <w:p>
      <w:pPr>
        <w:pStyle w:val="3"/>
      </w:pPr>
      <w:bookmarkStart w:id="11" w:name="_Toc21985"/>
      <w:r>
        <w:rPr>
          <w:rFonts w:hint="eastAsia"/>
        </w:rPr>
        <w:t>（四）教学改革</w:t>
      </w:r>
      <w:bookmarkEnd w:id="11"/>
    </w:p>
    <w:p>
      <w:pPr>
        <w:widowControl/>
        <w:shd w:val="clear" w:color="auto" w:fill="FFFFFF"/>
        <w:spacing w:line="360" w:lineRule="auto"/>
        <w:ind w:firstLine="482" w:firstLineChars="200"/>
        <w:jc w:val="left"/>
        <w:rPr>
          <w:rFonts w:ascii="仿宋_GB2312" w:hAnsi="Times New Roman" w:eastAsia="仿宋_GB2312"/>
          <w:b/>
          <w:bCs/>
          <w:sz w:val="24"/>
        </w:rPr>
      </w:pPr>
      <w:r>
        <w:rPr>
          <w:rFonts w:hint="eastAsia" w:ascii="仿宋_GB2312" w:hAnsi="Times New Roman" w:eastAsia="仿宋_GB2312"/>
          <w:b/>
          <w:bCs/>
          <w:sz w:val="24"/>
        </w:rPr>
        <w:t>1</w:t>
      </w:r>
      <w:r>
        <w:rPr>
          <w:rFonts w:ascii="仿宋_GB2312" w:hAnsi="Times New Roman" w:eastAsia="仿宋_GB2312"/>
          <w:b/>
          <w:bCs/>
          <w:sz w:val="24"/>
        </w:rPr>
        <w:t xml:space="preserve">. </w:t>
      </w:r>
      <w:r>
        <w:rPr>
          <w:rFonts w:hint="eastAsia" w:ascii="仿宋_GB2312" w:hAnsi="Times New Roman" w:eastAsia="仿宋_GB2312"/>
          <w:b/>
          <w:bCs/>
          <w:sz w:val="24"/>
        </w:rPr>
        <w:t>专业人才培养方案的制定和修订</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本专业依据教指委或教育部发布的专业规范、中国民航局关于《高等学校理工科本科指导性专业规范——飞行技术的征求意见函，以及学校关于培养方案制修订的指导性意见，结合我国民航业发展对人才培养的需求，广泛征询行业专家建议，搜集国内外航校反馈意见，在校内外专家充分论证基础上，根据专业定位和人才培养目标，制订或修订专业培养方案及课程体系。</w:t>
      </w:r>
    </w:p>
    <w:p>
      <w:pPr>
        <w:widowControl/>
        <w:shd w:val="clear" w:color="auto" w:fill="FFFFFF"/>
        <w:spacing w:line="360" w:lineRule="auto"/>
        <w:ind w:firstLine="482" w:firstLineChars="200"/>
        <w:jc w:val="left"/>
        <w:rPr>
          <w:rFonts w:ascii="仿宋_GB2312" w:eastAsia="仿宋_GB2312"/>
          <w:b/>
          <w:bCs/>
          <w:sz w:val="24"/>
          <w:szCs w:val="24"/>
        </w:rPr>
      </w:pPr>
      <w:r>
        <w:rPr>
          <w:rFonts w:hint="eastAsia" w:ascii="仿宋_GB2312" w:eastAsia="仿宋_GB2312"/>
          <w:b/>
          <w:bCs/>
          <w:sz w:val="24"/>
          <w:szCs w:val="24"/>
        </w:rPr>
        <w:t>2</w:t>
      </w:r>
      <w:r>
        <w:rPr>
          <w:rFonts w:ascii="仿宋_GB2312" w:eastAsia="仿宋_GB2312"/>
          <w:b/>
          <w:bCs/>
          <w:sz w:val="24"/>
          <w:szCs w:val="24"/>
        </w:rPr>
        <w:t xml:space="preserve">. </w:t>
      </w:r>
      <w:r>
        <w:rPr>
          <w:rFonts w:hint="eastAsia" w:ascii="仿宋_GB2312" w:eastAsia="仿宋_GB2312"/>
          <w:b/>
          <w:bCs/>
          <w:sz w:val="24"/>
          <w:szCs w:val="24"/>
        </w:rPr>
        <w:t>开展教研、教改与质量工程建设</w:t>
      </w:r>
    </w:p>
    <w:p>
      <w:pPr>
        <w:widowControl/>
        <w:shd w:val="clear" w:color="auto" w:fill="FFFFFF"/>
        <w:spacing w:line="360" w:lineRule="auto"/>
        <w:ind w:firstLine="480" w:firstLineChars="200"/>
        <w:jc w:val="left"/>
        <w:rPr>
          <w:rFonts w:ascii="仿宋_GB2312" w:eastAsia="仿宋_GB2312"/>
          <w:sz w:val="24"/>
          <w:szCs w:val="24"/>
        </w:rPr>
      </w:pPr>
      <w:r>
        <w:rPr>
          <w:rFonts w:hint="eastAsia" w:ascii="仿宋_GB2312" w:eastAsia="仿宋_GB2312"/>
          <w:sz w:val="24"/>
          <w:szCs w:val="24"/>
        </w:rPr>
        <w:t>每学期初，本系制定本学期的教研活动计划；平均每月安排1次教研活动，包括听课说课、毕业论文讨论检查、理论课程检查、学生学业情况汇总等；不定期参加政府部门或学会（协会）主办的教学研讨会。所有专职教师都参与学校的各类培养和讲座。在专职教师中，67%的教师主持或参与教学研究，</w:t>
      </w:r>
      <w:r>
        <w:rPr>
          <w:rFonts w:ascii="仿宋_GB2312" w:eastAsia="仿宋_GB2312"/>
          <w:sz w:val="24"/>
          <w:szCs w:val="24"/>
        </w:rPr>
        <w:t>81%</w:t>
      </w:r>
      <w:r>
        <w:rPr>
          <w:rFonts w:hint="eastAsia" w:ascii="仿宋_GB2312" w:eastAsia="仿宋_GB2312"/>
          <w:sz w:val="24"/>
          <w:szCs w:val="24"/>
        </w:rPr>
        <w:t>的教师</w:t>
      </w:r>
      <w:r>
        <w:rPr>
          <w:rFonts w:ascii="仿宋_GB2312" w:eastAsia="仿宋_GB2312"/>
          <w:sz w:val="24"/>
          <w:szCs w:val="24"/>
        </w:rPr>
        <w:t>参与教学改革</w:t>
      </w:r>
      <w:r>
        <w:rPr>
          <w:rFonts w:hint="eastAsia" w:ascii="仿宋_GB2312" w:eastAsia="仿宋_GB2312"/>
          <w:sz w:val="24"/>
          <w:szCs w:val="24"/>
        </w:rPr>
        <w:t>，56%的教师正式发表教研论文；</w:t>
      </w:r>
      <w:r>
        <w:rPr>
          <w:rFonts w:ascii="仿宋_GB2312" w:eastAsia="仿宋_GB2312"/>
          <w:sz w:val="24"/>
          <w:szCs w:val="24"/>
        </w:rPr>
        <w:t>主持上海市本科重点课程建设</w:t>
      </w:r>
      <w:r>
        <w:rPr>
          <w:rFonts w:hint="eastAsia" w:ascii="仿宋_GB2312" w:eastAsia="仿宋_GB2312"/>
          <w:sz w:val="24"/>
          <w:szCs w:val="24"/>
        </w:rPr>
        <w:t>4</w:t>
      </w:r>
      <w:r>
        <w:rPr>
          <w:rFonts w:ascii="仿宋_GB2312" w:eastAsia="仿宋_GB2312"/>
          <w:sz w:val="24"/>
          <w:szCs w:val="24"/>
        </w:rPr>
        <w:t>门，校级金课课程2门；获市级及以上教学奖励1项。</w:t>
      </w:r>
    </w:p>
    <w:p>
      <w:pPr>
        <w:widowControl/>
        <w:shd w:val="clear" w:color="auto" w:fill="FFFFFF"/>
        <w:spacing w:line="360" w:lineRule="auto"/>
        <w:ind w:firstLine="480" w:firstLineChars="200"/>
        <w:jc w:val="left"/>
        <w:rPr>
          <w:rFonts w:ascii="仿宋_GB2312" w:eastAsia="仿宋_GB2312"/>
          <w:sz w:val="24"/>
          <w:szCs w:val="24"/>
        </w:rPr>
      </w:pPr>
      <w:r>
        <w:rPr>
          <w:rFonts w:ascii="仿宋_GB2312" w:eastAsia="仿宋_GB2312"/>
          <w:sz w:val="24"/>
          <w:szCs w:val="24"/>
        </w:rPr>
        <w:t>本专业建有课程网站的课程 19门，</w:t>
      </w:r>
      <w:r>
        <w:rPr>
          <w:rFonts w:hint="eastAsia" w:ascii="仿宋_GB2312" w:eastAsia="仿宋_GB2312"/>
          <w:sz w:val="24"/>
          <w:szCs w:val="24"/>
        </w:rPr>
        <w:t>通过学校推荐的网络教学平台进行发布，学生可以自学，查阅习题库、课件、课外阅读等教学资源，并进行网上互动，使用效果良好。录制视频课程2门，MOOC课程2门，全英语课程8门，建成线上线下混合式课程2门。</w:t>
      </w:r>
    </w:p>
    <w:p>
      <w:pPr>
        <w:spacing w:line="360" w:lineRule="auto"/>
        <w:ind w:firstLine="482" w:firstLineChars="200"/>
        <w:rPr>
          <w:rFonts w:ascii="Times New Roman" w:hAnsi="Times New Roman" w:eastAsia="楷体"/>
          <w:b/>
          <w:bCs/>
          <w:sz w:val="24"/>
        </w:rPr>
      </w:pPr>
      <w:r>
        <w:rPr>
          <w:rFonts w:hint="eastAsia" w:ascii="Times New Roman" w:hAnsi="Times New Roman" w:eastAsia="楷体"/>
          <w:b/>
          <w:bCs/>
          <w:sz w:val="24"/>
        </w:rPr>
        <w:t>3</w:t>
      </w:r>
      <w:r>
        <w:rPr>
          <w:rFonts w:ascii="Times New Roman" w:hAnsi="Times New Roman" w:eastAsia="楷体"/>
          <w:b/>
          <w:bCs/>
          <w:sz w:val="24"/>
        </w:rPr>
        <w:t>. 教学改革中的典型案例——</w:t>
      </w:r>
      <w:r>
        <w:rPr>
          <w:rFonts w:hint="eastAsia" w:ascii="Times New Roman" w:hAnsi="Times New Roman" w:eastAsia="楷体"/>
          <w:b/>
          <w:bCs/>
          <w:sz w:val="24"/>
        </w:rPr>
        <w:t>以飞行技术专业课程思政教学改革</w:t>
      </w:r>
      <w:r>
        <w:rPr>
          <w:rFonts w:ascii="Times New Roman" w:hAnsi="Times New Roman" w:eastAsia="楷体"/>
          <w:b/>
          <w:bCs/>
          <w:sz w:val="24"/>
        </w:rPr>
        <w:t>为例</w:t>
      </w:r>
    </w:p>
    <w:p>
      <w:pPr>
        <w:spacing w:line="360" w:lineRule="auto"/>
        <w:rPr>
          <w:rFonts w:ascii="Times New Roman" w:hAnsi="Times New Roman" w:eastAsia="楷体"/>
          <w:sz w:val="24"/>
        </w:rPr>
      </w:pPr>
      <w:r>
        <w:rPr>
          <w:rFonts w:hint="eastAsia" w:ascii="Times New Roman" w:hAnsi="Times New Roman" w:eastAsia="楷体"/>
          <w:sz w:val="24"/>
        </w:rPr>
        <w:t>-------------------------------------------------------------------------------------------------------</w:t>
      </w:r>
    </w:p>
    <w:p>
      <w:pPr>
        <w:snapToGrid w:val="0"/>
        <w:spacing w:before="156" w:beforeLines="50" w:after="156" w:afterLines="50" w:line="360" w:lineRule="auto"/>
        <w:jc w:val="center"/>
        <w:rPr>
          <w:rFonts w:ascii="楷体" w:hAnsi="楷体" w:eastAsia="楷体"/>
          <w:b/>
          <w:bCs/>
          <w:sz w:val="28"/>
          <w:szCs w:val="28"/>
        </w:rPr>
      </w:pPr>
      <w:r>
        <w:rPr>
          <w:rFonts w:hint="eastAsia" w:ascii="楷体" w:hAnsi="楷体" w:eastAsia="楷体"/>
          <w:b/>
          <w:bCs/>
          <w:sz w:val="28"/>
          <w:szCs w:val="28"/>
        </w:rPr>
        <w:t>课程思政领航的飞行技术一流本科专业育才育人纪实</w:t>
      </w:r>
    </w:p>
    <w:p>
      <w:pPr>
        <w:widowControl/>
        <w:spacing w:line="360" w:lineRule="auto"/>
        <w:ind w:firstLine="480"/>
        <w:rPr>
          <w:rFonts w:ascii="楷体" w:hAnsi="楷体" w:eastAsia="楷体" w:cs="宋体"/>
          <w:color w:val="000000"/>
          <w:kern w:val="0"/>
          <w:sz w:val="24"/>
        </w:rPr>
      </w:pPr>
      <w:r>
        <w:rPr>
          <w:rFonts w:hint="eastAsia" w:ascii="楷体" w:hAnsi="楷体" w:eastAsia="楷体" w:cs="宋体"/>
          <w:color w:val="000000"/>
          <w:kern w:val="0"/>
          <w:sz w:val="24"/>
        </w:rPr>
        <w:t>“作为一名准民航人，理解与感悟当代民航精神，真正做到有信念、有本领、有担当。应像守护中国领空英雄王伟一样，具备忠诚担当的政治品格；应像临危不惧的川航机组</w:t>
      </w:r>
      <w:r>
        <w:rPr>
          <w:rFonts w:ascii="楷体" w:hAnsi="楷体" w:eastAsia="楷体" w:cs="宋体"/>
          <w:color w:val="000000"/>
          <w:kern w:val="0"/>
          <w:sz w:val="24"/>
        </w:rPr>
        <w:t>一样，具备</w:t>
      </w:r>
      <w:r>
        <w:rPr>
          <w:rFonts w:hint="eastAsia" w:ascii="楷体" w:hAnsi="楷体" w:eastAsia="楷体" w:cs="宋体"/>
          <w:color w:val="000000"/>
          <w:kern w:val="0"/>
          <w:sz w:val="24"/>
        </w:rPr>
        <w:t>团队协作的工作作风；应像C919大国工匠攻坚团队一样，具备严谨科学的专业精神；应像无数普普通通民航人一样，具备敬业奉献的职业操守。”</w:t>
      </w:r>
    </w:p>
    <w:p>
      <w:pPr>
        <w:widowControl/>
        <w:spacing w:line="360" w:lineRule="auto"/>
        <w:ind w:firstLine="480"/>
        <w:rPr>
          <w:rFonts w:ascii="楷体" w:hAnsi="楷体" w:eastAsia="楷体" w:cs="宋体"/>
          <w:color w:val="000000"/>
          <w:kern w:val="0"/>
          <w:sz w:val="24"/>
        </w:rPr>
      </w:pPr>
      <w:r>
        <w:rPr>
          <w:rFonts w:hint="eastAsia" w:ascii="楷体" w:hAnsi="楷体" w:eastAsia="楷体" w:cs="宋体"/>
          <w:color w:val="000000"/>
          <w:kern w:val="0"/>
          <w:sz w:val="24"/>
        </w:rPr>
        <w:t>这是上海工程技术大学航空运输学院教工党支部书记、飞行技术系主任党淑雯老师在2020级飞行技术专业新生《开学第一课》上的殷切寄语。“既感动又感慨！”学生朱骏辉说，“作为新时代准民航人，我投身于祖国民航事业发展的责任感愈加强烈！”</w:t>
      </w:r>
    </w:p>
    <w:p>
      <w:pPr>
        <w:widowControl/>
        <w:spacing w:line="360" w:lineRule="auto"/>
        <w:ind w:firstLine="480"/>
        <w:rPr>
          <w:rFonts w:ascii="楷体" w:hAnsi="楷体" w:eastAsia="楷体" w:cs="宋体"/>
          <w:color w:val="000000"/>
          <w:kern w:val="0"/>
          <w:sz w:val="24"/>
        </w:rPr>
      </w:pPr>
      <w:r>
        <w:rPr>
          <w:rFonts w:hint="eastAsia" w:ascii="楷体" w:hAnsi="楷体" w:eastAsia="楷体" w:cs="宋体"/>
          <w:color w:val="000000"/>
          <w:kern w:val="0"/>
          <w:sz w:val="24"/>
        </w:rPr>
        <w:t>这样激发学生强烈的航空报国之志的课程，是上海市一流本科飞行技术专业课程思政“盐融于水，润物无声”的一个鲜活案例。2019年，航空运输学院被遴选为上海市高校课程思政领航学院，同时学院的3个团队和26门课程还分别获评上海市课程思政领航团队和领航课程。</w:t>
      </w:r>
    </w:p>
    <w:p>
      <w:pPr>
        <w:spacing w:line="360" w:lineRule="auto"/>
        <w:ind w:firstLine="480" w:firstLineChars="200"/>
        <w:rPr>
          <w:rFonts w:ascii="楷体" w:hAnsi="楷体" w:eastAsia="楷体" w:cs="宋体"/>
          <w:color w:val="000000"/>
          <w:kern w:val="0"/>
          <w:sz w:val="24"/>
        </w:rPr>
      </w:pPr>
      <w:r>
        <w:rPr>
          <w:rFonts w:hint="eastAsia" w:ascii="楷体" w:hAnsi="楷体" w:eastAsia="楷体" w:cs="宋体"/>
          <w:color w:val="000000"/>
          <w:kern w:val="0"/>
          <w:sz w:val="24"/>
        </w:rPr>
        <w:t>作为上海市三八红旗集体，飞行技术系全体教师融航空报国价值于知识传授和能力培养，他们有上海市育才奖，上海高校青年教师教学竞赛奖项获得者、上海市三八红旗手、上海市教育系统巾帼建功标兵等多位在立德树人、课程思政潜心实践、乐于奉献且成果显著、示范引领的名师良师。为党育人、为国育才已经成为飞行技术专业全体专任教师的职业自觉，深深融入到人才培养价值观中。</w:t>
      </w:r>
    </w:p>
    <w:p>
      <w:pPr>
        <w:spacing w:line="360" w:lineRule="auto"/>
        <w:rPr>
          <w:rFonts w:ascii="楷体" w:hAnsi="楷体" w:eastAsia="楷体"/>
          <w:kern w:val="0"/>
          <w:sz w:val="24"/>
        </w:rPr>
      </w:pPr>
      <w:r>
        <w:rPr>
          <w:rFonts w:ascii="楷体" w:hAnsi="楷体" w:eastAsia="楷体"/>
          <w:kern w:val="0"/>
          <w:sz w:val="24"/>
        </w:rPr>
        <w:drawing>
          <wp:inline distT="0" distB="0" distL="0" distR="0">
            <wp:extent cx="2392045" cy="1788160"/>
            <wp:effectExtent l="0" t="0" r="8255" b="2540"/>
            <wp:docPr id="17" name="图片 17" descr="C:\Users\sherry\AppData\Local\Temp\WeChat Files\417e3911369871ea80e385ccc6aa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sherry\AppData\Local\Temp\WeChat Files\417e3911369871ea80e385ccc6aa7a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92045" cy="1788160"/>
                    </a:xfrm>
                    <a:prstGeom prst="rect">
                      <a:avLst/>
                    </a:prstGeom>
                    <a:noFill/>
                    <a:ln>
                      <a:noFill/>
                    </a:ln>
                  </pic:spPr>
                </pic:pic>
              </a:graphicData>
            </a:graphic>
          </wp:inline>
        </w:drawing>
      </w:r>
      <w:r>
        <w:rPr>
          <w:rFonts w:hint="eastAsia" w:ascii="楷体" w:hAnsi="楷体" w:eastAsia="楷体"/>
          <w:kern w:val="0"/>
          <w:sz w:val="24"/>
        </w:rPr>
        <w:t xml:space="preserve"> </w:t>
      </w:r>
      <w:r>
        <w:rPr>
          <w:rFonts w:ascii="楷体" w:hAnsi="楷体" w:eastAsia="楷体"/>
          <w:kern w:val="0"/>
          <w:sz w:val="24"/>
        </w:rPr>
        <w:drawing>
          <wp:inline distT="0" distB="0" distL="0" distR="0">
            <wp:extent cx="2686050" cy="1788160"/>
            <wp:effectExtent l="0" t="0" r="0" b="2540"/>
            <wp:docPr id="16" name="图片 16" descr="C:\Users\sherry\AppData\Local\Temp\WeChat Files\e47db0f4b4cc9e1dbd86f3201924b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sherry\AppData\Local\Temp\WeChat Files\e47db0f4b4cc9e1dbd86f3201924b2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86050" cy="1788160"/>
                    </a:xfrm>
                    <a:prstGeom prst="rect">
                      <a:avLst/>
                    </a:prstGeom>
                    <a:noFill/>
                    <a:ln>
                      <a:noFill/>
                    </a:ln>
                  </pic:spPr>
                </pic:pic>
              </a:graphicData>
            </a:graphic>
          </wp:inline>
        </w:drawing>
      </w:r>
    </w:p>
    <w:p>
      <w:pPr>
        <w:snapToGrid w:val="0"/>
        <w:spacing w:line="360" w:lineRule="auto"/>
        <w:rPr>
          <w:rFonts w:ascii="楷体" w:hAnsi="楷体" w:eastAsia="楷体"/>
          <w:b/>
          <w:bCs/>
          <w:sz w:val="30"/>
          <w:szCs w:val="30"/>
        </w:rPr>
      </w:pPr>
    </w:p>
    <w:p>
      <w:pPr>
        <w:snapToGrid w:val="0"/>
        <w:spacing w:line="360" w:lineRule="auto"/>
        <w:rPr>
          <w:rFonts w:ascii="楷体" w:hAnsi="楷体" w:eastAsia="楷体"/>
          <w:b/>
          <w:bCs/>
          <w:sz w:val="30"/>
          <w:szCs w:val="30"/>
        </w:rPr>
      </w:pPr>
      <w:r>
        <w:rPr>
          <w:rFonts w:hint="eastAsia" w:ascii="楷体" w:hAnsi="楷体" w:eastAsia="楷体"/>
          <w:b/>
          <w:bCs/>
          <w:sz w:val="30"/>
          <w:szCs w:val="30"/>
        </w:rPr>
        <w:t>开拓“以生为本，德育为先” 课程思政育人理念</w:t>
      </w:r>
    </w:p>
    <w:p>
      <w:pPr>
        <w:widowControl/>
        <w:spacing w:line="360" w:lineRule="auto"/>
        <w:ind w:firstLine="480" w:firstLineChars="200"/>
        <w:contextualSpacing/>
        <w:rPr>
          <w:rFonts w:ascii="楷体" w:hAnsi="楷体" w:eastAsia="楷体"/>
          <w:bCs/>
          <w:sz w:val="24"/>
        </w:rPr>
      </w:pPr>
      <w:r>
        <w:rPr>
          <w:rFonts w:hint="eastAsia" w:ascii="楷体" w:hAnsi="楷体" w:eastAsia="楷体"/>
          <w:kern w:val="0"/>
          <w:sz w:val="24"/>
        </w:rPr>
        <w:t>新时代民航强国建设战略指引下，我国民航发展已实现了规模大、实力强、品质优，具备加快实现从航空运输大国向航空运输强国的跨越基础。作为</w:t>
      </w:r>
      <w:r>
        <w:rPr>
          <w:rFonts w:hint="eastAsia" w:ascii="楷体" w:hAnsi="楷体" w:eastAsia="楷体"/>
          <w:bCs/>
          <w:kern w:val="0"/>
          <w:sz w:val="24"/>
        </w:rPr>
        <w:t>上海地区唯一开办飞行技术专业</w:t>
      </w:r>
      <w:r>
        <w:rPr>
          <w:rFonts w:hint="eastAsia" w:ascii="楷体" w:hAnsi="楷体" w:eastAsia="楷体"/>
          <w:kern w:val="0"/>
          <w:sz w:val="24"/>
        </w:rPr>
        <w:t>的高校，学校</w:t>
      </w:r>
      <w:r>
        <w:rPr>
          <w:rFonts w:hint="eastAsia" w:ascii="楷体" w:hAnsi="楷体" w:eastAsia="楷体"/>
          <w:bCs/>
          <w:sz w:val="24"/>
        </w:rPr>
        <w:t>坚持“立德树人为引领、以建设一流专业、一流课程为抓手、以全面提升应用型人才培养质量为核心”，围绕“课程思政领航的应用型飞行技术一流本科应用型人才培养”，</w:t>
      </w:r>
      <w:r>
        <w:rPr>
          <w:rFonts w:hint="eastAsia" w:ascii="楷体" w:hAnsi="楷体" w:eastAsia="楷体"/>
          <w:bCs/>
          <w:kern w:val="0"/>
          <w:sz w:val="24"/>
        </w:rPr>
        <w:t>高度响应国家发展战略</w:t>
      </w:r>
      <w:r>
        <w:rPr>
          <w:rFonts w:hint="eastAsia" w:ascii="楷体" w:hAnsi="楷体" w:eastAsia="楷体"/>
          <w:kern w:val="0"/>
          <w:sz w:val="24"/>
        </w:rPr>
        <w:t>，</w:t>
      </w:r>
      <w:r>
        <w:rPr>
          <w:rFonts w:hint="eastAsia" w:ascii="楷体" w:hAnsi="楷体" w:eastAsia="楷体"/>
          <w:bCs/>
          <w:kern w:val="0"/>
          <w:sz w:val="24"/>
        </w:rPr>
        <w:t>契合国际民航发展形势</w:t>
      </w:r>
      <w:r>
        <w:rPr>
          <w:rFonts w:hint="eastAsia" w:ascii="楷体" w:hAnsi="楷体" w:eastAsia="楷体"/>
          <w:bCs/>
          <w:sz w:val="24"/>
        </w:rPr>
        <w:t>，同时也</w:t>
      </w:r>
      <w:r>
        <w:rPr>
          <w:rFonts w:hint="eastAsia" w:ascii="楷体" w:hAnsi="楷体" w:eastAsia="楷体"/>
          <w:sz w:val="24"/>
        </w:rPr>
        <w:t>紧密围绕我校建设现代化工程应用型特色大学</w:t>
      </w:r>
      <w:r>
        <w:rPr>
          <w:rFonts w:hint="eastAsia" w:ascii="楷体" w:hAnsi="楷体" w:eastAsia="楷体"/>
          <w:bCs/>
          <w:sz w:val="24"/>
        </w:rPr>
        <w:t>、</w:t>
      </w:r>
      <w:r>
        <w:rPr>
          <w:rFonts w:hint="eastAsia" w:ascii="楷体" w:hAnsi="楷体" w:eastAsia="楷体"/>
          <w:sz w:val="24"/>
        </w:rPr>
        <w:t>培养应用型人才办学目标</w:t>
      </w:r>
      <w:bookmarkStart w:id="12" w:name="_Hlk65155227"/>
      <w:r>
        <w:rPr>
          <w:rFonts w:hint="eastAsia" w:ascii="楷体" w:hAnsi="楷体" w:eastAsia="楷体"/>
          <w:bCs/>
          <w:sz w:val="24"/>
        </w:rPr>
        <w:t>，开拓理念、打造品牌、彰显成效、引领示范。</w:t>
      </w:r>
    </w:p>
    <w:bookmarkEnd w:id="12"/>
    <w:p>
      <w:pPr>
        <w:widowControl/>
        <w:spacing w:line="360" w:lineRule="auto"/>
        <w:ind w:firstLine="480" w:firstLineChars="200"/>
        <w:contextualSpacing/>
        <w:rPr>
          <w:rFonts w:ascii="楷体" w:hAnsi="楷体" w:eastAsia="楷体"/>
          <w:kern w:val="0"/>
          <w:sz w:val="24"/>
        </w:rPr>
      </w:pPr>
      <w:r>
        <w:rPr>
          <w:rFonts w:ascii="楷体" w:hAnsi="楷体" w:eastAsia="楷体"/>
          <w:kern w:val="0"/>
          <w:sz w:val="24"/>
        </w:rPr>
        <w:t>飞行技术专业成立</w:t>
      </w:r>
      <w:r>
        <w:rPr>
          <w:rFonts w:hint="eastAsia" w:ascii="楷体" w:hAnsi="楷体" w:eastAsia="楷体"/>
          <w:kern w:val="0"/>
          <w:sz w:val="24"/>
        </w:rPr>
        <w:t>于</w:t>
      </w:r>
      <w:r>
        <w:rPr>
          <w:rFonts w:ascii="楷体" w:hAnsi="楷体" w:eastAsia="楷体"/>
          <w:kern w:val="0"/>
          <w:sz w:val="24"/>
        </w:rPr>
        <w:t>2007年，</w:t>
      </w:r>
      <w:r>
        <w:rPr>
          <w:rFonts w:hint="eastAsia" w:ascii="楷体" w:hAnsi="楷体" w:eastAsia="楷体"/>
          <w:kern w:val="0"/>
          <w:sz w:val="24"/>
        </w:rPr>
        <w:t>是校企协同育人、产学融合的标志性成果，先后开展</w:t>
      </w:r>
      <w:r>
        <w:rPr>
          <w:rFonts w:hint="eastAsia" w:ascii="楷体" w:hAnsi="楷体" w:eastAsia="楷体"/>
          <w:bCs/>
          <w:kern w:val="0"/>
          <w:sz w:val="24"/>
        </w:rPr>
        <w:t>“</w:t>
      </w:r>
      <w:r>
        <w:rPr>
          <w:rFonts w:ascii="楷体" w:hAnsi="楷体" w:eastAsia="楷体"/>
          <w:bCs/>
          <w:kern w:val="0"/>
          <w:sz w:val="24"/>
        </w:rPr>
        <w:t>卓越工程师教育培养计划</w:t>
      </w:r>
      <w:r>
        <w:rPr>
          <w:rFonts w:hint="eastAsia" w:ascii="楷体" w:hAnsi="楷体" w:eastAsia="楷体"/>
          <w:bCs/>
          <w:kern w:val="0"/>
          <w:sz w:val="24"/>
        </w:rPr>
        <w:t>”</w:t>
      </w:r>
      <w:r>
        <w:rPr>
          <w:rFonts w:ascii="楷体" w:hAnsi="楷体" w:eastAsia="楷体"/>
          <w:bCs/>
          <w:kern w:val="0"/>
          <w:sz w:val="24"/>
        </w:rPr>
        <w:t>试点专业</w:t>
      </w:r>
      <w:r>
        <w:rPr>
          <w:rFonts w:hint="eastAsia" w:ascii="楷体" w:hAnsi="楷体" w:eastAsia="楷体"/>
          <w:kern w:val="0"/>
          <w:sz w:val="24"/>
        </w:rPr>
        <w:t>、</w:t>
      </w:r>
      <w:r>
        <w:rPr>
          <w:rFonts w:ascii="楷体" w:hAnsi="楷体" w:eastAsia="楷体"/>
          <w:bCs/>
          <w:kern w:val="0"/>
          <w:sz w:val="24"/>
        </w:rPr>
        <w:t>上海市属高校应用型本科试点专业</w:t>
      </w:r>
      <w:r>
        <w:rPr>
          <w:rFonts w:hint="eastAsia" w:ascii="楷体" w:hAnsi="楷体" w:eastAsia="楷体"/>
          <w:kern w:val="0"/>
          <w:sz w:val="24"/>
        </w:rPr>
        <w:t>建设，获批</w:t>
      </w:r>
      <w:r>
        <w:rPr>
          <w:rFonts w:hint="eastAsia" w:ascii="楷体" w:hAnsi="楷体" w:eastAsia="楷体"/>
          <w:bCs/>
          <w:kern w:val="0"/>
          <w:sz w:val="24"/>
        </w:rPr>
        <w:t>上海市一流本科专业</w:t>
      </w:r>
      <w:r>
        <w:rPr>
          <w:rFonts w:hint="eastAsia" w:ascii="楷体" w:hAnsi="楷体" w:eastAsia="楷体"/>
          <w:kern w:val="0"/>
          <w:sz w:val="24"/>
        </w:rPr>
        <w:t>。</w:t>
      </w:r>
    </w:p>
    <w:p>
      <w:pPr>
        <w:spacing w:line="360" w:lineRule="auto"/>
        <w:jc w:val="center"/>
        <w:rPr>
          <w:rFonts w:ascii="楷体" w:hAnsi="楷体" w:eastAsia="楷体"/>
          <w:bCs/>
          <w:sz w:val="24"/>
        </w:rPr>
      </w:pPr>
      <w:r>
        <w:rPr>
          <w:rFonts w:ascii="楷体" w:hAnsi="楷体" w:eastAsia="楷体"/>
          <w:sz w:val="24"/>
        </w:rPr>
        <w:drawing>
          <wp:inline distT="0" distB="0" distL="0" distR="0">
            <wp:extent cx="3812540" cy="164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12540" cy="1640840"/>
                    </a:xfrm>
                    <a:prstGeom prst="rect">
                      <a:avLst/>
                    </a:prstGeom>
                    <a:noFill/>
                    <a:ln>
                      <a:noFill/>
                    </a:ln>
                  </pic:spPr>
                </pic:pic>
              </a:graphicData>
            </a:graphic>
          </wp:inline>
        </w:drawing>
      </w:r>
    </w:p>
    <w:p>
      <w:pPr>
        <w:widowControl/>
        <w:spacing w:line="360" w:lineRule="auto"/>
        <w:ind w:firstLine="480" w:firstLineChars="200"/>
        <w:contextualSpacing/>
        <w:rPr>
          <w:rFonts w:ascii="楷体" w:hAnsi="楷体" w:eastAsia="楷体"/>
          <w:kern w:val="0"/>
          <w:sz w:val="24"/>
        </w:rPr>
      </w:pPr>
    </w:p>
    <w:p>
      <w:pPr>
        <w:widowControl/>
        <w:spacing w:line="360" w:lineRule="auto"/>
        <w:ind w:firstLine="480" w:firstLineChars="200"/>
        <w:contextualSpacing/>
        <w:rPr>
          <w:rFonts w:ascii="楷体" w:hAnsi="楷体" w:eastAsia="楷体"/>
          <w:kern w:val="0"/>
          <w:sz w:val="24"/>
        </w:rPr>
      </w:pPr>
      <w:r>
        <w:rPr>
          <w:rFonts w:hint="eastAsia" w:ascii="楷体" w:hAnsi="楷体" w:eastAsia="楷体"/>
          <w:kern w:val="0"/>
          <w:sz w:val="24"/>
        </w:rPr>
        <w:t>飞行技术专业课程思政领航专业建设围绕航空报国价值引领，融入强国战略、民航发展、中国制造等要素，培养学生安全意识、规章意识，厚植工匠精神、民航精神，</w:t>
      </w:r>
      <w:r>
        <w:rPr>
          <w:rFonts w:ascii="楷体" w:hAnsi="楷体" w:eastAsia="楷体"/>
          <w:bCs/>
          <w:kern w:val="0"/>
          <w:sz w:val="24"/>
        </w:rPr>
        <w:t>推动</w:t>
      </w:r>
      <w:r>
        <w:rPr>
          <w:rFonts w:hint="eastAsia" w:ascii="楷体" w:hAnsi="楷体" w:eastAsia="楷体"/>
          <w:bCs/>
          <w:kern w:val="0"/>
          <w:sz w:val="24"/>
        </w:rPr>
        <w:t>思政引领历史观、时代观、国家观、民族观全课程多维育人</w:t>
      </w:r>
      <w:r>
        <w:rPr>
          <w:rFonts w:hint="eastAsia" w:ascii="楷体" w:hAnsi="楷体" w:eastAsia="楷体"/>
          <w:kern w:val="0"/>
          <w:sz w:val="24"/>
        </w:rPr>
        <w:t>。</w:t>
      </w:r>
    </w:p>
    <w:p>
      <w:pPr>
        <w:widowControl/>
        <w:tabs>
          <w:tab w:val="left" w:pos="1418"/>
        </w:tabs>
        <w:spacing w:line="360" w:lineRule="auto"/>
        <w:contextualSpacing/>
        <w:rPr>
          <w:rFonts w:ascii="楷体" w:hAnsi="楷体" w:eastAsia="楷体"/>
          <w:sz w:val="24"/>
        </w:rPr>
      </w:pPr>
    </w:p>
    <w:p>
      <w:pPr>
        <w:snapToGrid w:val="0"/>
        <w:spacing w:line="360" w:lineRule="auto"/>
        <w:rPr>
          <w:rFonts w:ascii="楷体" w:hAnsi="楷体" w:eastAsia="楷体"/>
          <w:b/>
          <w:bCs/>
          <w:sz w:val="30"/>
          <w:szCs w:val="30"/>
        </w:rPr>
      </w:pPr>
      <w:r>
        <w:rPr>
          <w:rFonts w:hint="eastAsia" w:ascii="楷体" w:hAnsi="楷体" w:eastAsia="楷体"/>
          <w:b/>
          <w:bCs/>
          <w:sz w:val="30"/>
          <w:szCs w:val="30"/>
        </w:rPr>
        <w:t>推动领航专业“课程思政全覆盖”三全育人大格局</w:t>
      </w:r>
    </w:p>
    <w:p>
      <w:pPr>
        <w:widowControl/>
        <w:spacing w:line="360" w:lineRule="auto"/>
        <w:ind w:firstLine="480"/>
        <w:rPr>
          <w:rFonts w:ascii="楷体" w:hAnsi="楷体" w:eastAsia="楷体" w:cs="宋体"/>
          <w:color w:val="000000"/>
          <w:kern w:val="0"/>
          <w:sz w:val="24"/>
        </w:rPr>
      </w:pPr>
      <w:r>
        <w:rPr>
          <w:rFonts w:ascii="楷体" w:hAnsi="楷体" w:eastAsia="楷体" w:cs="宋体"/>
          <w:color w:val="000000"/>
          <w:kern w:val="0"/>
          <w:sz w:val="24"/>
        </w:rPr>
        <w:t>“民航人才要自觉与新时代新征程同向同行，在实现民航强国梦中谱写青春华章。一要立大志，把握人生航向。要自觉用习近平新时代中国特色社会主义思想武装头脑，将个人发展与服务民航强国建设有机结合，在实现伟大复兴中国梦的新征程中实现人生理想。二要明大德，擦亮青春底色。要自觉传承红色基因，做社会主义核心价值观的践行者，自觉弘扬和传承爱国主义精神、当代民航精神和中国民航英雄机组精神。三要成大才，练就高飞本领。要努力掌握专业知识，扎实专业技能，增强“三个敬畏”意识，深化作风建设。四要担大任，勇于追梦圆梦。要认清历史使命，脚踏实地，学会在实干中积累经验，磨炼意志，锤炼品格，干好小事，不怕难事。”</w:t>
      </w:r>
    </w:p>
    <w:p>
      <w:pPr>
        <w:widowControl/>
        <w:spacing w:line="360" w:lineRule="auto"/>
        <w:ind w:firstLine="480" w:firstLineChars="200"/>
        <w:contextualSpacing/>
        <w:rPr>
          <w:rFonts w:ascii="楷体" w:hAnsi="楷体" w:eastAsia="楷体"/>
          <w:bCs/>
          <w:kern w:val="0"/>
          <w:sz w:val="24"/>
        </w:rPr>
      </w:pPr>
      <w:r>
        <w:rPr>
          <w:rFonts w:hint="eastAsia" w:ascii="楷体" w:hAnsi="楷体" w:eastAsia="楷体" w:cs="宋体"/>
          <w:color w:val="000000"/>
          <w:kern w:val="0"/>
          <w:sz w:val="24"/>
        </w:rPr>
        <w:t>正是在这样强烈的育才与育人共识下，学院党政班子</w:t>
      </w:r>
      <w:r>
        <w:rPr>
          <w:rFonts w:hint="eastAsia" w:ascii="楷体" w:hAnsi="楷体" w:eastAsia="楷体"/>
          <w:bCs/>
          <w:sz w:val="24"/>
        </w:rPr>
        <w:t>坚持立德树人根本任务，全课程深掘航空报国育人内涵，营造中国民航特色飞行技术育人育才培养氛围，通过建设领航学院、领航团队、领航课程推进思政教育教学改革纵深发展。结合学校“三全育人”综合改革，</w:t>
      </w:r>
      <w:r>
        <w:rPr>
          <w:rFonts w:hint="eastAsia" w:ascii="楷体" w:hAnsi="楷体" w:eastAsia="楷体"/>
          <w:bCs/>
          <w:kern w:val="0"/>
          <w:sz w:val="24"/>
        </w:rPr>
        <w:t>依托上海市“双带头人”党支部书记工作室建设、攀登计划“样板支部”建设、上海市三八红旗集体红色资源，</w:t>
      </w:r>
      <w:r>
        <w:rPr>
          <w:rFonts w:hint="eastAsia" w:ascii="楷体" w:hAnsi="楷体" w:eastAsia="楷体"/>
          <w:sz w:val="24"/>
        </w:rPr>
        <w:t>双通道推动“三全育人”综合改革大格局，</w:t>
      </w:r>
      <w:r>
        <w:rPr>
          <w:rFonts w:hint="eastAsia" w:ascii="楷体" w:hAnsi="楷体" w:eastAsia="楷体"/>
          <w:bCs/>
          <w:kern w:val="0"/>
          <w:sz w:val="24"/>
        </w:rPr>
        <w:t>形成党建育人一体两翼新局面。</w:t>
      </w:r>
    </w:p>
    <w:p>
      <w:pPr>
        <w:widowControl/>
        <w:spacing w:line="360" w:lineRule="auto"/>
        <w:ind w:firstLine="480" w:firstLineChars="200"/>
        <w:contextualSpacing/>
        <w:rPr>
          <w:rFonts w:ascii="楷体" w:hAnsi="楷体" w:eastAsia="楷体"/>
          <w:bCs/>
          <w:sz w:val="24"/>
        </w:rPr>
      </w:pPr>
      <w:r>
        <w:rPr>
          <w:rFonts w:hint="eastAsia" w:ascii="楷体" w:hAnsi="楷体" w:eastAsia="楷体" w:cs="宋体"/>
          <w:color w:val="000000"/>
          <w:kern w:val="0"/>
          <w:sz w:val="24"/>
        </w:rPr>
        <w:t>带领全体教师在飞行技术专业课程思政全课程覆盖这个全新的领域开始了理论探究与实践验证。确立育人目标、深掘思政内涵、搭建组织架构、优化教学大纲、组建讲师团队……提出与民航专业认证标准相融合的课程思政育人体系、知识体系、组织架构，形成“三全育人”课程思政育人模式，并在后疫情时代航空强国育人育才新挑战新机遇下改革创新、实践反思。</w:t>
      </w:r>
    </w:p>
    <w:p>
      <w:pPr>
        <w:widowControl/>
        <w:spacing w:line="360" w:lineRule="auto"/>
        <w:ind w:firstLine="480"/>
        <w:rPr>
          <w:rFonts w:ascii="楷体" w:hAnsi="楷体" w:eastAsia="楷体" w:cs="宋体"/>
          <w:color w:val="000000"/>
          <w:kern w:val="0"/>
          <w:sz w:val="24"/>
        </w:rPr>
      </w:pPr>
      <w:r>
        <w:rPr>
          <w:rFonts w:hint="eastAsia" w:ascii="楷体" w:hAnsi="楷体" w:eastAsia="楷体" w:cs="宋体"/>
          <w:color w:val="000000"/>
          <w:kern w:val="0"/>
          <w:sz w:val="24"/>
        </w:rPr>
        <w:t>在培养方案的统一框架下，专业教师们将习近平新时代中国特色社会主义思想、社会主义核心价值观、中华民族优秀传统文化、宪法法治精神、职业理想和职业道德等思政教育内容掰细揉碎，巧妙融入一个个专业知识点，嵌入到课程教学大纲，编织进课堂教学设计中，综合运用案例、讨论、问答、作业等教学手段，点燃青年学生心中的爱国之情和报国之志。</w:t>
      </w:r>
    </w:p>
    <w:p>
      <w:pPr>
        <w:widowControl/>
        <w:spacing w:line="360" w:lineRule="auto"/>
        <w:ind w:firstLine="480"/>
        <w:rPr>
          <w:rFonts w:ascii="楷体" w:hAnsi="楷体" w:eastAsia="楷体"/>
          <w:bCs/>
          <w:sz w:val="24"/>
        </w:rPr>
      </w:pPr>
      <w:r>
        <w:rPr>
          <w:rFonts w:hint="eastAsia" w:ascii="楷体" w:hAnsi="楷体" w:eastAsia="楷体" w:cs="宋体"/>
          <w:color w:val="000000"/>
          <w:kern w:val="0"/>
          <w:sz w:val="24"/>
        </w:rPr>
        <w:t>国家级“线上线下”混合式一流课程负责人党淑雯老师讲授《机载设备》课程</w:t>
      </w:r>
      <w:r>
        <w:rPr>
          <w:rFonts w:ascii="楷体" w:hAnsi="楷体" w:eastAsia="楷体" w:cs="宋体"/>
          <w:color w:val="000000"/>
          <w:kern w:val="0"/>
          <w:sz w:val="24"/>
        </w:rPr>
        <w:t>把航空报国精神、民航精神、工匠精神和奉献精神等新时代民航精神充分渗透到教学中，以此来强化专业基础课的育人功能，从而进一步探索专业基础课实施“课程思政”教学改革的有效途径</w:t>
      </w:r>
      <w:r>
        <w:rPr>
          <w:rFonts w:hint="eastAsia" w:ascii="楷体" w:hAnsi="楷体" w:eastAsia="楷体" w:cs="宋体"/>
          <w:color w:val="000000"/>
          <w:kern w:val="0"/>
          <w:sz w:val="24"/>
        </w:rPr>
        <w:t>；上海市一流课程负责人魏鹏程老师讲授的《飞机鉴赏》课程</w:t>
      </w:r>
      <w:r>
        <w:rPr>
          <w:rFonts w:ascii="楷体" w:hAnsi="楷体" w:eastAsia="楷体" w:cs="宋体"/>
          <w:color w:val="000000"/>
          <w:kern w:val="0"/>
          <w:sz w:val="24"/>
        </w:rPr>
        <w:t>向学生讲述C919的研发生产，让学生懂得大飞机对于大国地位和国家战略的重要性，并让学生树立航空报国的远大志向</w:t>
      </w:r>
      <w:r>
        <w:rPr>
          <w:rFonts w:hint="eastAsia" w:ascii="楷体" w:hAnsi="楷体" w:eastAsia="楷体" w:cs="宋体"/>
          <w:color w:val="000000"/>
          <w:kern w:val="0"/>
          <w:sz w:val="24"/>
        </w:rPr>
        <w:t>；国家级虚拟仿真实验课程教学团队在《模拟器实习》课程以战略思维串起回归初心的责任担当、综合协同的战略视角和精益求精的职业素养；上海市重点课程负责人顾莹老师讲授《空中领航》习题作业请学生结合实际飞行情况，畅谈飞行经理人应具备的职业伦理和基本素质；上海市示范性全英语课程负责人李佩绮老师在《陆空通话》课程中</w:t>
      </w:r>
      <w:r>
        <w:rPr>
          <w:rFonts w:ascii="楷体" w:hAnsi="楷体" w:eastAsia="楷体" w:cs="宋体"/>
          <w:color w:val="000000"/>
          <w:kern w:val="0"/>
          <w:sz w:val="24"/>
        </w:rPr>
        <w:t>以大兴机场为例，向学生介绍我国的大国工匠精神，充分展现中国工程建筑的雄厚实力，体现出的中国精神和中国力量</w:t>
      </w:r>
      <w:r>
        <w:rPr>
          <w:rFonts w:hint="eastAsia" w:ascii="楷体" w:hAnsi="楷体" w:eastAsia="楷体" w:cs="宋体"/>
          <w:color w:val="000000"/>
          <w:kern w:val="0"/>
          <w:sz w:val="24"/>
        </w:rPr>
        <w:t>；</w:t>
      </w:r>
      <w:r>
        <w:rPr>
          <w:rFonts w:hint="eastAsia" w:ascii="楷体" w:hAnsi="楷体" w:eastAsia="楷体"/>
          <w:bCs/>
          <w:sz w:val="24"/>
        </w:rPr>
        <w:t>校外导师五星机长丁志明在疫情期间通过空中课堂用一生蓝天生涯所经历的飞行故事，串联出一个优秀的飞行员应具备的基本素质，并通过实际案例向同学们剖析飞行员实际工作中的思想误区和意识盲区</w:t>
      </w:r>
      <w:r>
        <w:rPr>
          <w:rFonts w:hint="eastAsia" w:ascii="楷体" w:hAnsi="楷体" w:eastAsia="楷体" w:cs="宋体"/>
          <w:color w:val="000000"/>
          <w:kern w:val="0"/>
          <w:sz w:val="24"/>
        </w:rPr>
        <w:t>……航空报国与思政情怀不断碰擦出火花，为学生奉上一道道富含思政营养的专业知识大餐</w:t>
      </w:r>
    </w:p>
    <w:p>
      <w:pPr>
        <w:widowControl/>
        <w:spacing w:line="360" w:lineRule="auto"/>
        <w:ind w:firstLine="480"/>
        <w:rPr>
          <w:rFonts w:ascii="楷体" w:hAnsi="楷体" w:eastAsia="楷体" w:cs="宋体"/>
          <w:color w:val="000000"/>
          <w:kern w:val="0"/>
          <w:sz w:val="24"/>
        </w:rPr>
      </w:pPr>
      <w:r>
        <w:rPr>
          <w:rFonts w:hint="eastAsia" w:ascii="楷体" w:hAnsi="楷体" w:eastAsia="楷体" w:cs="宋体"/>
          <w:color w:val="000000"/>
          <w:kern w:val="0"/>
          <w:sz w:val="24"/>
        </w:rPr>
        <w:t>“感觉自己正在参与民航强国建设的伟大历史进程，让我增强了把专业知识和时代发展连接起来的能力。”“觉得课堂上的思政元素很有现实意义，促使我思考青年民航学子从哪些方面去分析和解决实际飞行问题。”“民航强国，必须有我。”这些课程评价更多来源于学生们树立航空报国情怀、</w:t>
      </w:r>
      <w:r>
        <w:rPr>
          <w:rFonts w:ascii="楷体" w:hAnsi="楷体" w:eastAsia="楷体" w:cs="宋体"/>
          <w:color w:val="000000"/>
          <w:kern w:val="0"/>
          <w:sz w:val="24"/>
        </w:rPr>
        <w:t>实现中华民族伟大复兴的中国梦的强烈意愿及青春志向。</w:t>
      </w:r>
    </w:p>
    <w:p>
      <w:pPr>
        <w:widowControl/>
        <w:spacing w:line="360" w:lineRule="auto"/>
        <w:rPr>
          <w:rFonts w:ascii="楷体" w:hAnsi="楷体" w:eastAsia="楷体" w:cs="宋体"/>
          <w:color w:val="000000"/>
          <w:kern w:val="0"/>
          <w:sz w:val="24"/>
        </w:rPr>
      </w:pPr>
      <w:r>
        <w:rPr>
          <w:rFonts w:ascii="楷体" w:hAnsi="楷体" w:eastAsia="楷体" w:cs="宋体"/>
          <w:color w:val="000000"/>
          <w:kern w:val="0"/>
          <w:sz w:val="24"/>
        </w:rPr>
        <w:drawing>
          <wp:inline distT="0" distB="0" distL="0" distR="0">
            <wp:extent cx="1575435" cy="1282065"/>
            <wp:effectExtent l="0" t="0" r="5715" b="0"/>
            <wp:docPr id="14" name="图片 14" descr="C:\Users\sherry\AppData\Local\Temp\WeChat Files\72cfd160ad1507418b3b9e1e5375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herry\AppData\Local\Temp\WeChat Files\72cfd160ad1507418b3b9e1e5375d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75435" cy="1282065"/>
                    </a:xfrm>
                    <a:prstGeom prst="rect">
                      <a:avLst/>
                    </a:prstGeom>
                    <a:noFill/>
                    <a:ln>
                      <a:noFill/>
                    </a:ln>
                  </pic:spPr>
                </pic:pic>
              </a:graphicData>
            </a:graphic>
          </wp:inline>
        </w:drawing>
      </w:r>
      <w:r>
        <w:rPr>
          <w:rFonts w:hint="eastAsia" w:ascii="楷体" w:hAnsi="楷体" w:eastAsia="楷体"/>
          <w:sz w:val="24"/>
        </w:rPr>
        <w:t xml:space="preserve"> </w:t>
      </w:r>
      <w:r>
        <w:rPr>
          <w:rFonts w:ascii="Times New Roman" w:hAnsi="Times New Roman" w:eastAsia="Times New Roman"/>
          <w:color w:val="000000"/>
          <w:w w:val="0"/>
          <w:kern w:val="0"/>
          <w:sz w:val="0"/>
          <w:szCs w:val="0"/>
          <w:u w:color="000000"/>
          <w:shd w:val="clear" w:color="000000" w:fill="000000"/>
        </w:rPr>
        <w:drawing>
          <wp:inline distT="0" distB="0" distL="0" distR="0">
            <wp:extent cx="1624965" cy="12166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24965" cy="1216660"/>
                    </a:xfrm>
                    <a:prstGeom prst="rect">
                      <a:avLst/>
                    </a:prstGeom>
                    <a:noFill/>
                    <a:ln>
                      <a:noFill/>
                    </a:ln>
                  </pic:spPr>
                </pic:pic>
              </a:graphicData>
            </a:graphic>
          </wp:inline>
        </w:drawing>
      </w:r>
      <w:r>
        <w:rPr>
          <w:rFonts w:hint="eastAsia" w:ascii="楷体" w:hAnsi="楷体" w:eastAsia="楷体" w:cs="宋体"/>
          <w:color w:val="000000"/>
          <w:kern w:val="0"/>
          <w:sz w:val="24"/>
        </w:rPr>
        <w:t xml:space="preserve"> </w:t>
      </w:r>
      <w:r>
        <w:rPr>
          <w:rFonts w:ascii="楷体" w:hAnsi="楷体" w:eastAsia="楷体"/>
          <w:sz w:val="24"/>
        </w:rPr>
        <w:drawing>
          <wp:inline distT="0" distB="0" distL="0" distR="0">
            <wp:extent cx="1682115" cy="12655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82115" cy="1265555"/>
                    </a:xfrm>
                    <a:prstGeom prst="rect">
                      <a:avLst/>
                    </a:prstGeom>
                    <a:noFill/>
                    <a:ln>
                      <a:noFill/>
                    </a:ln>
                  </pic:spPr>
                </pic:pic>
              </a:graphicData>
            </a:graphic>
          </wp:inline>
        </w:drawing>
      </w:r>
    </w:p>
    <w:p>
      <w:pPr>
        <w:widowControl/>
        <w:spacing w:line="360" w:lineRule="auto"/>
        <w:ind w:firstLine="480"/>
        <w:rPr>
          <w:rFonts w:ascii="楷体" w:hAnsi="楷体" w:eastAsia="楷体" w:cs="宋体"/>
          <w:color w:val="000000"/>
          <w:kern w:val="0"/>
          <w:sz w:val="24"/>
        </w:rPr>
      </w:pPr>
    </w:p>
    <w:p>
      <w:pPr>
        <w:widowControl/>
        <w:tabs>
          <w:tab w:val="left" w:pos="1418"/>
        </w:tabs>
        <w:spacing w:line="360" w:lineRule="auto"/>
        <w:contextualSpacing/>
        <w:rPr>
          <w:rFonts w:ascii="楷体" w:hAnsi="楷体" w:eastAsia="楷体"/>
          <w:sz w:val="24"/>
        </w:rPr>
      </w:pPr>
      <w:r>
        <w:rPr>
          <w:rFonts w:ascii="楷体" w:hAnsi="楷体" w:eastAsia="楷体"/>
          <w:sz w:val="24"/>
        </w:rPr>
        <w:drawing>
          <wp:inline distT="0" distB="0" distL="0" distR="0">
            <wp:extent cx="5274310" cy="1959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1959610"/>
                    </a:xfrm>
                    <a:prstGeom prst="rect">
                      <a:avLst/>
                    </a:prstGeom>
                    <a:noFill/>
                    <a:ln>
                      <a:noFill/>
                    </a:ln>
                  </pic:spPr>
                </pic:pic>
              </a:graphicData>
            </a:graphic>
          </wp:inline>
        </w:drawing>
      </w:r>
    </w:p>
    <w:p>
      <w:pPr>
        <w:widowControl/>
        <w:tabs>
          <w:tab w:val="left" w:pos="1418"/>
        </w:tabs>
        <w:spacing w:line="360" w:lineRule="auto"/>
        <w:contextualSpacing/>
        <w:rPr>
          <w:rFonts w:ascii="楷体" w:hAnsi="楷体" w:eastAsia="楷体"/>
          <w:sz w:val="24"/>
        </w:rPr>
      </w:pPr>
    </w:p>
    <w:p>
      <w:pPr>
        <w:snapToGrid w:val="0"/>
        <w:spacing w:line="360" w:lineRule="auto"/>
        <w:rPr>
          <w:rFonts w:ascii="楷体" w:hAnsi="楷体" w:eastAsia="楷体"/>
          <w:b/>
          <w:bCs/>
          <w:sz w:val="30"/>
          <w:szCs w:val="30"/>
        </w:rPr>
      </w:pPr>
      <w:r>
        <w:rPr>
          <w:rFonts w:hint="eastAsia" w:ascii="楷体" w:hAnsi="楷体" w:eastAsia="楷体"/>
          <w:b/>
          <w:bCs/>
          <w:sz w:val="30"/>
          <w:szCs w:val="30"/>
        </w:rPr>
        <w:t>收获胸怀航空报国初心使命服务国家战略人才培养成效</w:t>
      </w:r>
    </w:p>
    <w:p>
      <w:pPr>
        <w:spacing w:line="360" w:lineRule="auto"/>
        <w:rPr>
          <w:rFonts w:ascii="楷体" w:hAnsi="楷体" w:eastAsia="楷体"/>
          <w:bCs/>
          <w:kern w:val="0"/>
          <w:sz w:val="24"/>
        </w:rPr>
      </w:pPr>
      <w:r>
        <w:rPr>
          <w:rFonts w:hint="eastAsia" w:ascii="楷体" w:hAnsi="楷体" w:eastAsia="楷体"/>
          <w:bCs/>
          <w:kern w:val="0"/>
          <w:sz w:val="24"/>
        </w:rPr>
        <w:t xml:space="preserve">    </w:t>
      </w:r>
      <w:r>
        <w:rPr>
          <w:rFonts w:hint="eastAsia" w:ascii="楷体" w:hAnsi="楷体" w:eastAsia="楷体"/>
          <w:sz w:val="24"/>
        </w:rPr>
        <w:t>飞行技术专业已</w:t>
      </w:r>
      <w:r>
        <w:rPr>
          <w:rFonts w:hint="eastAsia" w:ascii="楷体" w:hAnsi="楷体" w:eastAsia="楷体"/>
          <w:bCs/>
          <w:kern w:val="0"/>
          <w:sz w:val="24"/>
        </w:rPr>
        <w:t>为民航企业输送800余名飞行员， C919试飞机长蔡俊、现任中国商飞公司试飞中队中队长作为杰出毕业生，于2017年完成国产大飞机首飞，中国商飞党委授予其机组“大飞机功勋奖”，个人记“特等功”。</w:t>
      </w:r>
    </w:p>
    <w:p>
      <w:pPr>
        <w:spacing w:line="360" w:lineRule="auto"/>
        <w:rPr>
          <w:rFonts w:ascii="楷体" w:hAnsi="楷体" w:eastAsia="楷体"/>
          <w:sz w:val="24"/>
        </w:rPr>
      </w:pPr>
      <w:r>
        <w:rPr>
          <w:rFonts w:ascii="楷体" w:hAnsi="楷体" w:eastAsia="楷体"/>
          <w:sz w:val="24"/>
        </w:rPr>
        <w:drawing>
          <wp:inline distT="0" distB="0" distL="0" distR="0">
            <wp:extent cx="5151755" cy="3437255"/>
            <wp:effectExtent l="0" t="0" r="0" b="0"/>
            <wp:docPr id="10" name="图片 10" descr="微信图片_2021042317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423171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51755" cy="3437255"/>
                    </a:xfrm>
                    <a:prstGeom prst="rect">
                      <a:avLst/>
                    </a:prstGeom>
                    <a:noFill/>
                    <a:ln>
                      <a:noFill/>
                    </a:ln>
                  </pic:spPr>
                </pic:pic>
              </a:graphicData>
            </a:graphic>
          </wp:inline>
        </w:drawing>
      </w:r>
      <w:r>
        <w:rPr>
          <w:rFonts w:ascii="楷体" w:hAnsi="楷体" w:eastAsia="楷体"/>
          <w:sz w:val="24"/>
        </w:rPr>
        <w:t xml:space="preserve"> </w:t>
      </w:r>
    </w:p>
    <w:p>
      <w:pPr>
        <w:spacing w:line="360" w:lineRule="auto"/>
        <w:rPr>
          <w:rFonts w:ascii="楷体" w:hAnsi="楷体" w:eastAsia="楷体"/>
          <w:bCs/>
          <w:kern w:val="0"/>
          <w:sz w:val="24"/>
        </w:rPr>
      </w:pPr>
      <w:r>
        <w:rPr>
          <w:rFonts w:hint="eastAsia" w:ascii="楷体" w:hAnsi="楷体" w:eastAsia="楷体"/>
          <w:bCs/>
          <w:kern w:val="0"/>
          <w:sz w:val="24"/>
        </w:rPr>
        <w:t xml:space="preserve">    包括新长征突击手、上海市五四青年等优秀毕业生机长在内的一大批飞行经理人在各自岗位中勇于担当、践行使命，在新冠疫情爆发后，涌现出许许多多一线民航运输抗疫先锋机长。</w:t>
      </w:r>
    </w:p>
    <w:p>
      <w:pPr>
        <w:spacing w:line="360" w:lineRule="auto"/>
        <w:rPr>
          <w:rFonts w:ascii="楷体" w:hAnsi="楷体" w:eastAsia="楷体"/>
          <w:bCs/>
          <w:kern w:val="0"/>
          <w:sz w:val="24"/>
        </w:rPr>
      </w:pPr>
      <w:r>
        <w:rPr>
          <w:rFonts w:ascii="楷体" w:hAnsi="楷体" w:eastAsia="楷体"/>
          <w:kern w:val="0"/>
          <w:sz w:val="24"/>
        </w:rPr>
        <w:drawing>
          <wp:inline distT="0" distB="0" distL="0" distR="0">
            <wp:extent cx="2367915" cy="22040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67915" cy="2204085"/>
                    </a:xfrm>
                    <a:prstGeom prst="rect">
                      <a:avLst/>
                    </a:prstGeom>
                    <a:noFill/>
                    <a:ln>
                      <a:noFill/>
                    </a:ln>
                  </pic:spPr>
                </pic:pic>
              </a:graphicData>
            </a:graphic>
          </wp:inline>
        </w:drawing>
      </w:r>
      <w:r>
        <w:rPr>
          <w:rFonts w:hint="eastAsia" w:ascii="楷体" w:hAnsi="楷体" w:eastAsia="楷体"/>
          <w:bCs/>
          <w:kern w:val="0"/>
          <w:sz w:val="24"/>
        </w:rPr>
        <w:t xml:space="preserve"> </w:t>
      </w:r>
      <w:r>
        <w:rPr>
          <w:rFonts w:ascii="楷体" w:hAnsi="楷体" w:eastAsia="楷体"/>
          <w:kern w:val="0"/>
          <w:sz w:val="24"/>
        </w:rPr>
        <w:drawing>
          <wp:inline distT="0" distB="0" distL="0" distR="0">
            <wp:extent cx="2686050" cy="2204085"/>
            <wp:effectExtent l="0" t="0" r="0" b="5715"/>
            <wp:docPr id="8" name="图片 8" descr="C:\Users\sherry\AppData\Local\Temp\16194457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herry\AppData\Local\Temp\161944576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86050" cy="2204085"/>
                    </a:xfrm>
                    <a:prstGeom prst="rect">
                      <a:avLst/>
                    </a:prstGeom>
                    <a:noFill/>
                    <a:ln>
                      <a:noFill/>
                    </a:ln>
                  </pic:spPr>
                </pic:pic>
              </a:graphicData>
            </a:graphic>
          </wp:inline>
        </w:drawing>
      </w:r>
    </w:p>
    <w:p>
      <w:pPr>
        <w:pStyle w:val="8"/>
        <w:shd w:val="clear" w:color="auto" w:fill="FFFFFF"/>
        <w:spacing w:before="0" w:beforeAutospacing="0" w:after="0" w:afterAutospacing="0" w:line="360" w:lineRule="auto"/>
        <w:ind w:left="1712"/>
        <w:jc w:val="both"/>
        <w:rPr>
          <w:rStyle w:val="12"/>
        </w:rPr>
      </w:pPr>
      <w:r>
        <w:rPr>
          <w:rStyle w:val="12"/>
          <w:rFonts w:hint="eastAsia" w:ascii="楷体" w:hAnsi="楷体" w:eastAsia="楷体"/>
          <w:spacing w:val="8"/>
        </w:rPr>
        <w:t>“这是一所满怀爱国、报国深情的大学；</w:t>
      </w:r>
    </w:p>
    <w:p>
      <w:pPr>
        <w:pStyle w:val="8"/>
        <w:shd w:val="clear" w:color="auto" w:fill="FFFFFF"/>
        <w:spacing w:before="0" w:beforeAutospacing="0" w:after="0" w:afterAutospacing="0" w:line="360" w:lineRule="auto"/>
        <w:ind w:left="1712"/>
        <w:jc w:val="both"/>
        <w:rPr>
          <w:rFonts w:ascii="楷体" w:hAnsi="楷体" w:eastAsia="楷体"/>
          <w:spacing w:val="8"/>
        </w:rPr>
      </w:pPr>
      <w:r>
        <w:rPr>
          <w:rStyle w:val="12"/>
          <w:rFonts w:hint="eastAsia" w:ascii="楷体" w:hAnsi="楷体" w:eastAsia="楷体"/>
          <w:spacing w:val="8"/>
        </w:rPr>
        <w:t>有一群深爱祖国的学子；</w:t>
      </w:r>
    </w:p>
    <w:p>
      <w:pPr>
        <w:pStyle w:val="8"/>
        <w:shd w:val="clear" w:color="auto" w:fill="FFFFFF"/>
        <w:spacing w:before="0" w:beforeAutospacing="0" w:after="0" w:afterAutospacing="0" w:line="360" w:lineRule="auto"/>
        <w:ind w:left="1712"/>
        <w:jc w:val="both"/>
        <w:rPr>
          <w:rFonts w:ascii="楷体" w:hAnsi="楷体" w:eastAsia="楷体"/>
          <w:spacing w:val="8"/>
        </w:rPr>
      </w:pPr>
      <w:r>
        <w:rPr>
          <w:rStyle w:val="12"/>
          <w:rFonts w:hint="eastAsia" w:ascii="楷体" w:hAnsi="楷体" w:eastAsia="楷体"/>
          <w:spacing w:val="8"/>
        </w:rPr>
        <w:t>有一群胸怀飞行理想的才俊；</w:t>
      </w:r>
    </w:p>
    <w:p>
      <w:pPr>
        <w:pStyle w:val="8"/>
        <w:shd w:val="clear" w:color="auto" w:fill="FFFFFF"/>
        <w:spacing w:before="0" w:beforeAutospacing="0" w:after="0" w:afterAutospacing="0" w:line="360" w:lineRule="auto"/>
        <w:ind w:left="1712"/>
        <w:jc w:val="both"/>
        <w:rPr>
          <w:rFonts w:ascii="楷体" w:hAnsi="楷体" w:eastAsia="楷体"/>
          <w:spacing w:val="8"/>
        </w:rPr>
      </w:pPr>
      <w:r>
        <w:rPr>
          <w:rStyle w:val="12"/>
          <w:rFonts w:hint="eastAsia" w:ascii="楷体" w:hAnsi="楷体" w:eastAsia="楷体"/>
          <w:spacing w:val="8"/>
        </w:rPr>
        <w:t>有一群充满血性又面向美好未来的青春少年；</w:t>
      </w:r>
    </w:p>
    <w:p>
      <w:pPr>
        <w:pStyle w:val="8"/>
        <w:shd w:val="clear" w:color="auto" w:fill="FFFFFF"/>
        <w:spacing w:before="0" w:beforeAutospacing="0" w:after="0" w:afterAutospacing="0" w:line="360" w:lineRule="auto"/>
        <w:ind w:left="1712"/>
        <w:jc w:val="both"/>
        <w:rPr>
          <w:rFonts w:ascii="楷体" w:hAnsi="楷体" w:eastAsia="楷体"/>
          <w:spacing w:val="8"/>
        </w:rPr>
      </w:pPr>
      <w:r>
        <w:rPr>
          <w:rStyle w:val="12"/>
          <w:rFonts w:hint="eastAsia" w:ascii="楷体" w:hAnsi="楷体" w:eastAsia="楷体"/>
          <w:spacing w:val="8"/>
        </w:rPr>
        <w:t>有一群神采飞扬又冷静纠偏的接班人；</w:t>
      </w:r>
    </w:p>
    <w:p>
      <w:pPr>
        <w:pStyle w:val="8"/>
        <w:shd w:val="clear" w:color="auto" w:fill="FFFFFF"/>
        <w:spacing w:before="0" w:beforeAutospacing="0" w:after="0" w:afterAutospacing="0" w:line="360" w:lineRule="auto"/>
        <w:ind w:left="1712"/>
        <w:jc w:val="both"/>
        <w:rPr>
          <w:rFonts w:ascii="楷体" w:hAnsi="楷体" w:eastAsia="楷体"/>
          <w:spacing w:val="8"/>
        </w:rPr>
      </w:pPr>
      <w:r>
        <w:rPr>
          <w:rStyle w:val="12"/>
          <w:rFonts w:hint="eastAsia" w:ascii="楷体" w:hAnsi="楷体" w:eastAsia="楷体"/>
          <w:spacing w:val="8"/>
        </w:rPr>
        <w:t>有一群将在万里蓝天施展才华的飞行者。”</w:t>
      </w:r>
    </w:p>
    <w:p>
      <w:pPr>
        <w:spacing w:line="360" w:lineRule="auto"/>
        <w:ind w:firstLine="480" w:firstLineChars="200"/>
        <w:rPr>
          <w:rFonts w:ascii="楷体" w:hAnsi="楷体" w:eastAsia="楷体"/>
          <w:bCs/>
          <w:kern w:val="0"/>
          <w:sz w:val="24"/>
        </w:rPr>
      </w:pPr>
      <w:r>
        <w:rPr>
          <w:rFonts w:hint="eastAsia" w:ascii="楷体" w:hAnsi="楷体" w:eastAsia="楷体"/>
          <w:bCs/>
          <w:kern w:val="0"/>
          <w:sz w:val="24"/>
        </w:rPr>
        <w:t>航空运输学院（飞行学院）特聘校外导师，原空军飞行学员旅政委、空军大校高文山在完成2018级飞行技术专业学生校外实习带教指导后如是评价。</w:t>
      </w:r>
    </w:p>
    <w:p>
      <w:pPr>
        <w:spacing w:line="360" w:lineRule="auto"/>
        <w:ind w:firstLine="480" w:firstLineChars="200"/>
        <w:rPr>
          <w:rFonts w:ascii="楷体" w:hAnsi="楷体" w:eastAsia="楷体"/>
          <w:bCs/>
          <w:kern w:val="0"/>
          <w:sz w:val="24"/>
        </w:rPr>
      </w:pPr>
    </w:p>
    <w:p>
      <w:pPr>
        <w:snapToGrid w:val="0"/>
        <w:spacing w:line="360" w:lineRule="auto"/>
        <w:jc w:val="center"/>
        <w:rPr>
          <w:rFonts w:ascii="楷体" w:hAnsi="楷体" w:eastAsia="楷体"/>
          <w:bCs/>
          <w:sz w:val="24"/>
        </w:rPr>
      </w:pPr>
      <w:r>
        <w:rPr>
          <w:rFonts w:ascii="楷体" w:hAnsi="楷体" w:eastAsia="楷体"/>
          <w:sz w:val="24"/>
        </w:rPr>
        <w:drawing>
          <wp:inline distT="0" distB="0" distL="0" distR="0">
            <wp:extent cx="2432685" cy="18288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32685" cy="1828800"/>
                    </a:xfrm>
                    <a:prstGeom prst="rect">
                      <a:avLst/>
                    </a:prstGeom>
                    <a:noFill/>
                    <a:ln>
                      <a:noFill/>
                    </a:ln>
                  </pic:spPr>
                </pic:pic>
              </a:graphicData>
            </a:graphic>
          </wp:inline>
        </w:drawing>
      </w:r>
      <w:r>
        <w:rPr>
          <w:rFonts w:hint="eastAsia" w:ascii="楷体" w:hAnsi="楷体" w:eastAsia="楷体"/>
          <w:bCs/>
          <w:sz w:val="24"/>
        </w:rPr>
        <w:t xml:space="preserve"> </w:t>
      </w:r>
      <w:r>
        <w:rPr>
          <w:rFonts w:ascii="楷体" w:hAnsi="楷体" w:eastAsia="楷体"/>
          <w:sz w:val="24"/>
        </w:rPr>
        <w:drawing>
          <wp:inline distT="0" distB="0" distL="0" distR="0">
            <wp:extent cx="2432685" cy="1820545"/>
            <wp:effectExtent l="0" t="0" r="5715" b="8255"/>
            <wp:docPr id="6" name="图片 6" descr="C:\Users\sherry\AppData\Local\Temp\WeChat Files\0d05ba98639b70cb272d74cada3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sherry\AppData\Local\Temp\WeChat Files\0d05ba98639b70cb272d74cada3939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32685" cy="1820545"/>
                    </a:xfrm>
                    <a:prstGeom prst="rect">
                      <a:avLst/>
                    </a:prstGeom>
                    <a:noFill/>
                    <a:ln>
                      <a:noFill/>
                    </a:ln>
                  </pic:spPr>
                </pic:pic>
              </a:graphicData>
            </a:graphic>
          </wp:inline>
        </w:drawing>
      </w:r>
    </w:p>
    <w:p>
      <w:pPr>
        <w:snapToGrid w:val="0"/>
        <w:spacing w:line="360" w:lineRule="auto"/>
        <w:jc w:val="center"/>
        <w:rPr>
          <w:rFonts w:ascii="楷体" w:hAnsi="楷体" w:eastAsia="楷体"/>
          <w:bCs/>
          <w:sz w:val="24"/>
        </w:rPr>
      </w:pPr>
      <w:r>
        <w:rPr>
          <w:rFonts w:ascii="楷体" w:hAnsi="楷体" w:eastAsia="楷体"/>
          <w:sz w:val="24"/>
        </w:rPr>
        <w:drawing>
          <wp:inline distT="0" distB="0" distL="0" distR="0">
            <wp:extent cx="4947285" cy="3298190"/>
            <wp:effectExtent l="0" t="0" r="5715" b="0"/>
            <wp:docPr id="5" name="图片 5" descr="C:\Users\sherry\AppData\Local\Temp\WeChat Files\bde64bb84a1648a1a0c80440cf08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sherry\AppData\Local\Temp\WeChat Files\bde64bb84a1648a1a0c80440cf087f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47285" cy="3298190"/>
                    </a:xfrm>
                    <a:prstGeom prst="rect">
                      <a:avLst/>
                    </a:prstGeom>
                    <a:noFill/>
                    <a:ln>
                      <a:noFill/>
                    </a:ln>
                  </pic:spPr>
                </pic:pic>
              </a:graphicData>
            </a:graphic>
          </wp:inline>
        </w:drawing>
      </w:r>
    </w:p>
    <w:p>
      <w:pPr>
        <w:spacing w:line="360" w:lineRule="auto"/>
        <w:ind w:firstLine="480" w:firstLineChars="200"/>
        <w:rPr>
          <w:rFonts w:ascii="楷体" w:hAnsi="楷体" w:eastAsia="楷体"/>
          <w:bCs/>
          <w:kern w:val="0"/>
          <w:sz w:val="24"/>
        </w:rPr>
      </w:pPr>
      <w:r>
        <w:rPr>
          <w:rFonts w:hint="eastAsia" w:ascii="楷体" w:hAnsi="楷体" w:eastAsia="楷体"/>
          <w:bCs/>
          <w:kern w:val="0"/>
          <w:sz w:val="24"/>
        </w:rPr>
        <w:t xml:space="preserve"> </w:t>
      </w:r>
    </w:p>
    <w:p>
      <w:pPr>
        <w:spacing w:line="360" w:lineRule="auto"/>
        <w:ind w:firstLine="480" w:firstLineChars="200"/>
        <w:rPr>
          <w:rFonts w:ascii="楷体" w:hAnsi="楷体" w:eastAsia="楷体"/>
          <w:bCs/>
          <w:kern w:val="0"/>
          <w:sz w:val="24"/>
        </w:rPr>
      </w:pPr>
      <w:r>
        <w:rPr>
          <w:rFonts w:hint="eastAsia" w:ascii="楷体" w:hAnsi="楷体" w:eastAsia="楷体"/>
          <w:bCs/>
          <w:kern w:val="0"/>
          <w:sz w:val="24"/>
        </w:rPr>
        <w:t>我们深信在后续的课程思政领航专业建设工作中，将重点突出教学第一课堂、激活课外第二课堂，将思想价值引领贯穿到教育教学的全过程和各环节，把“三全育人”的理念融入到学生思想政治教育、文化知识教育、认知实习教育各环节，持续服务于国家“民航强国”战略和上海“五个中心”建设，不断培养出德智体美劳全面发展的有用之才，成为能够担当民族复兴大任的新时代民航人才。</w:t>
      </w:r>
      <w:r>
        <w:rPr>
          <w:rFonts w:ascii="楷体" w:hAnsi="楷体" w:eastAsia="楷体"/>
          <w:bCs/>
          <w:kern w:val="0"/>
          <w:sz w:val="24"/>
        </w:rPr>
        <w:t xml:space="preserve"> </w:t>
      </w:r>
    </w:p>
    <w:p>
      <w:pPr>
        <w:spacing w:line="360" w:lineRule="auto"/>
        <w:rPr>
          <w:rFonts w:ascii="Times New Roman" w:hAnsi="Times New Roman" w:eastAsia="楷体"/>
          <w:sz w:val="24"/>
        </w:rPr>
      </w:pPr>
      <w:r>
        <w:rPr>
          <w:rFonts w:hint="eastAsia" w:ascii="Times New Roman" w:hAnsi="Times New Roman" w:eastAsia="楷体"/>
          <w:sz w:val="24"/>
        </w:rPr>
        <w:t>-------------------------------------------------------------------------------------------------------</w:t>
      </w:r>
    </w:p>
    <w:p>
      <w:pPr>
        <w:widowControl/>
        <w:shd w:val="clear" w:color="auto" w:fill="FFFFFF"/>
        <w:spacing w:line="400" w:lineRule="exact"/>
        <w:jc w:val="left"/>
        <w:rPr>
          <w:rFonts w:ascii="宋体" w:hAnsi="宋体" w:cs="宋体"/>
          <w:b/>
          <w:bCs/>
          <w:color w:val="333333"/>
          <w:kern w:val="0"/>
          <w:sz w:val="24"/>
          <w:szCs w:val="24"/>
        </w:rPr>
      </w:pPr>
    </w:p>
    <w:p>
      <w:pPr>
        <w:pStyle w:val="2"/>
      </w:pPr>
      <w:bookmarkStart w:id="13" w:name="_Toc1074"/>
      <w:r>
        <w:rPr>
          <w:rFonts w:hint="eastAsia"/>
        </w:rPr>
        <w:t>四、专业教学质量监控与保障</w:t>
      </w:r>
      <w:bookmarkEnd w:id="13"/>
    </w:p>
    <w:p>
      <w:pPr>
        <w:pStyle w:val="3"/>
      </w:pPr>
      <w:bookmarkStart w:id="14" w:name="_Toc7294"/>
      <w:r>
        <w:rPr>
          <w:rFonts w:hint="eastAsia"/>
        </w:rPr>
        <w:t>（一）专业教学质量体系</w:t>
      </w:r>
      <w:bookmarkEnd w:id="14"/>
    </w:p>
    <w:p>
      <w:pPr>
        <w:spacing w:line="360" w:lineRule="auto"/>
        <w:ind w:firstLine="480" w:firstLineChars="200"/>
        <w:rPr>
          <w:rFonts w:ascii="仿宋_GB2312" w:hAnsi="宋体" w:eastAsia="仿宋_GB2312" w:cs="宋体"/>
          <w:kern w:val="0"/>
          <w:sz w:val="24"/>
          <w:szCs w:val="24"/>
        </w:rPr>
      </w:pPr>
      <w:r>
        <w:rPr>
          <w:rFonts w:ascii="仿宋_GB2312" w:hAnsi="宋体" w:eastAsia="仿宋_GB2312" w:cs="宋体"/>
          <w:kern w:val="0"/>
          <w:sz w:val="24"/>
          <w:szCs w:val="24"/>
        </w:rPr>
        <w:t>学院机构设置有院务委员会——由校长和公司总裁担任学校和公司方的主任委员，负责学院重大工作的决策；院学术委员会——开展学院学科建设的技术咨询；专业委员会——进行专业建设的技术指导；各系负责执行专业培养计划和日常教学管理。因此院系教学管理人员落实、职责明确，本专业教学运行规范有序。</w:t>
      </w:r>
    </w:p>
    <w:p>
      <w:pPr>
        <w:spacing w:line="360" w:lineRule="auto"/>
        <w:ind w:firstLine="480" w:firstLineChars="200"/>
        <w:rPr>
          <w:rFonts w:ascii="仿宋_GB2312" w:hAnsi="宋体" w:eastAsia="仿宋_GB2312" w:cs="宋体"/>
          <w:kern w:val="0"/>
          <w:sz w:val="24"/>
          <w:szCs w:val="24"/>
        </w:rPr>
      </w:pPr>
      <w:r>
        <w:rPr>
          <w:rFonts w:ascii="仿宋_GB2312" w:hAnsi="宋体" w:eastAsia="仿宋_GB2312" w:cs="宋体"/>
          <w:kern w:val="0"/>
          <w:sz w:val="24"/>
          <w:szCs w:val="24"/>
        </w:rPr>
        <w:t>学校和学院建立了一系列教学管理规章制度及专业教学文件</w:t>
      </w:r>
      <w:r>
        <w:rPr>
          <w:rFonts w:hint="eastAsia" w:ascii="仿宋_GB2312" w:hAnsi="宋体" w:eastAsia="仿宋_GB2312" w:cs="宋体"/>
          <w:kern w:val="0"/>
          <w:sz w:val="24"/>
          <w:szCs w:val="24"/>
        </w:rPr>
        <w:t>，例如《上海工程技术大学本、专科学分制管理实施细则(试行)》、《上海工程技术大学教材管理办法》、《上海工程技术大学课程考核管理规程》、《上海工程技术大学在线课程管理办法》、《上海工程技术大学本科毕业设计（论文）工作管理办法》、《上海工程技术大学本科毕业设计（论文）规范写作要求》、《航空运输学院、飞行学院关于课程教学大纲制订的实施细则》、《航空运输学院、飞行学院课程考核管理办法》等。</w:t>
      </w:r>
      <w:r>
        <w:rPr>
          <w:rFonts w:ascii="仿宋_GB2312" w:hAnsi="宋体" w:eastAsia="仿宋_GB2312" w:cs="宋体"/>
          <w:kern w:val="0"/>
          <w:sz w:val="24"/>
          <w:szCs w:val="24"/>
        </w:rPr>
        <w:t>各类制度文件实施前通过多种方式告知学生及教师：校教务处、学院网站公布，发放学生手册，班主任、辅导员</w:t>
      </w:r>
      <w:r>
        <w:rPr>
          <w:rFonts w:hint="eastAsia" w:ascii="仿宋_GB2312" w:hAnsi="宋体" w:eastAsia="仿宋_GB2312" w:cs="宋体"/>
          <w:kern w:val="0"/>
          <w:sz w:val="24"/>
          <w:szCs w:val="24"/>
        </w:rPr>
        <w:t>、学业导师</w:t>
      </w:r>
      <w:r>
        <w:rPr>
          <w:rFonts w:ascii="仿宋_GB2312" w:hAnsi="宋体" w:eastAsia="仿宋_GB2312" w:cs="宋体"/>
          <w:kern w:val="0"/>
          <w:sz w:val="24"/>
          <w:szCs w:val="24"/>
        </w:rPr>
        <w:t>宣讲告知，学院或系教研会议告知或组织学习，系主任实时传达等，因此能够确保90%以上的师生能够知晓并认真执行相关制度文件。</w:t>
      </w:r>
    </w:p>
    <w:p>
      <w:pPr>
        <w:pStyle w:val="3"/>
      </w:pPr>
      <w:bookmarkStart w:id="15" w:name="_Toc9680"/>
      <w:r>
        <w:rPr>
          <w:rFonts w:hint="eastAsia"/>
        </w:rPr>
        <w:t>（二）教学质量监控运行</w:t>
      </w:r>
      <w:bookmarkEnd w:id="15"/>
    </w:p>
    <w:p>
      <w:pPr>
        <w:spacing w:line="360" w:lineRule="auto"/>
        <w:ind w:firstLine="480" w:firstLineChars="200"/>
        <w:rPr>
          <w:rFonts w:ascii="仿宋_GB2312" w:hAnsi="宋体" w:eastAsia="仿宋_GB2312" w:cs="宋体"/>
          <w:kern w:val="0"/>
          <w:sz w:val="24"/>
          <w:szCs w:val="24"/>
        </w:rPr>
      </w:pPr>
      <w:r>
        <w:rPr>
          <w:rFonts w:ascii="仿宋_GB2312" w:hAnsi="宋体" w:eastAsia="仿宋_GB2312" w:cs="宋体"/>
          <w:kern w:val="0"/>
          <w:sz w:val="24"/>
          <w:szCs w:val="24"/>
        </w:rPr>
        <w:t>本专业以督导组听课、院系领导听课、同行听课评价、实践教学检查、毕业论文检查、学生和教师的教学质量座谈会、网上评教等多种形式对专业教学实施经常性检查、评价和反馈，对反馈结果有及时分析和改进措施，初步建立了教学质量监控体系。各教学环节教学质量保证的责任主体明确，工作到位。</w:t>
      </w:r>
      <w:r>
        <w:rPr>
          <w:rFonts w:hint="eastAsia" w:ascii="仿宋_GB2312" w:hAnsi="宋体" w:eastAsia="仿宋_GB2312" w:cs="宋体"/>
          <w:kern w:val="0"/>
          <w:sz w:val="24"/>
          <w:szCs w:val="24"/>
        </w:rPr>
        <w:t>教师授课优良率1</w:t>
      </w:r>
      <w:r>
        <w:rPr>
          <w:rFonts w:ascii="仿宋_GB2312" w:hAnsi="宋体" w:eastAsia="仿宋_GB2312" w:cs="宋体"/>
          <w:kern w:val="0"/>
          <w:sz w:val="24"/>
          <w:szCs w:val="24"/>
        </w:rPr>
        <w:t>00%</w:t>
      </w:r>
      <w:r>
        <w:rPr>
          <w:rFonts w:hint="eastAsia" w:ascii="仿宋_GB2312" w:hAnsi="宋体" w:eastAsia="仿宋_GB2312" w:cs="宋体"/>
          <w:kern w:val="0"/>
          <w:sz w:val="24"/>
          <w:szCs w:val="24"/>
        </w:rPr>
        <w:t>。</w:t>
      </w:r>
    </w:p>
    <w:p>
      <w:pPr>
        <w:pStyle w:val="3"/>
      </w:pPr>
      <w:bookmarkStart w:id="16" w:name="_Toc8041"/>
      <w:r>
        <w:rPr>
          <w:rFonts w:hint="eastAsia"/>
        </w:rPr>
        <w:t>（三）教学质量评估反馈及持续改进</w:t>
      </w:r>
      <w:bookmarkEnd w:id="16"/>
    </w:p>
    <w:p>
      <w:pPr>
        <w:widowControl/>
        <w:shd w:val="clear" w:color="auto" w:fill="FFFFFF"/>
        <w:spacing w:line="360" w:lineRule="auto"/>
        <w:ind w:firstLine="480" w:firstLineChars="200"/>
        <w:jc w:val="left"/>
        <w:rPr>
          <w:rFonts w:ascii="仿宋_GB2312" w:hAnsi="宋体" w:eastAsia="仿宋_GB2312" w:cs="宋体"/>
          <w:kern w:val="0"/>
          <w:sz w:val="24"/>
          <w:szCs w:val="24"/>
        </w:rPr>
      </w:pPr>
      <w:r>
        <w:rPr>
          <w:rFonts w:hint="eastAsia" w:ascii="仿宋_GB2312" w:hAnsi="宋体" w:eastAsia="仿宋_GB2312" w:cs="宋体"/>
          <w:kern w:val="0"/>
          <w:sz w:val="24"/>
          <w:szCs w:val="24"/>
        </w:rPr>
        <w:t>针对每一门课程，教师在课程结束后，对标培养计划中的课程体系与毕业要求矩阵表，填写《课程分析表》，通过计算课程目标达成度以评价教学效果，并提出存在的问题及其改进措施。开学初期，学校组织督导抽查上一学期课程考核材料；学期中，督导随机进课堂听课。学院将反馈材料下发至专业系室，由系室主任或教学团队负责人通知相关教师，教师对此提出改进措施。针对毕业要求和培养目标，本专业不定时对毕业生、委托企业等发放调查问卷，据此形成新一轮人才培养方案的修改意见。</w:t>
      </w:r>
    </w:p>
    <w:p/>
    <w:p>
      <w:pPr>
        <w:pStyle w:val="2"/>
      </w:pPr>
      <w:bookmarkStart w:id="17" w:name="_Toc3423"/>
      <w:r>
        <w:rPr>
          <w:rFonts w:hint="eastAsia"/>
        </w:rPr>
        <w:t>五、学生学习成效</w:t>
      </w:r>
      <w:bookmarkEnd w:id="17"/>
    </w:p>
    <w:p>
      <w:pPr>
        <w:pStyle w:val="3"/>
      </w:pPr>
      <w:bookmarkStart w:id="18" w:name="_Toc8429"/>
      <w:r>
        <w:rPr>
          <w:rFonts w:hint="eastAsia"/>
        </w:rPr>
        <w:t>（一）学风建设情况及效果</w:t>
      </w:r>
      <w:bookmarkEnd w:id="18"/>
    </w:p>
    <w:p>
      <w:pPr>
        <w:spacing w:line="360" w:lineRule="auto"/>
        <w:ind w:firstLine="480" w:firstLineChars="200"/>
        <w:rPr>
          <w:rFonts w:ascii="仿宋_GB2312" w:hAnsi="宋体" w:eastAsia="仿宋_GB2312" w:cs="宋体"/>
          <w:kern w:val="0"/>
          <w:sz w:val="24"/>
          <w:szCs w:val="24"/>
        </w:rPr>
      </w:pPr>
      <w:r>
        <w:rPr>
          <w:rFonts w:ascii="仿宋_GB2312" w:hAnsi="宋体" w:eastAsia="仿宋_GB2312" w:cs="宋体"/>
          <w:kern w:val="0"/>
          <w:sz w:val="24"/>
          <w:szCs w:val="24"/>
        </w:rPr>
        <w:t>本专业采用准军事化管理制度，明确规定了学生在校行为，包括作息时间、教学活动出勤时间、晚自习时间等，对违反者给予扣分，扣分达到一定数量，应退出飞行技术专业。课程的平均出勤率达95%以上，平均迟到率控制在5%以内。根据学生课程安排，要求所有大一新生及晚上没有选修课的学生在指定教室参加晚自习。</w:t>
      </w:r>
    </w:p>
    <w:p>
      <w:pPr>
        <w:pStyle w:val="3"/>
      </w:pPr>
      <w:bookmarkStart w:id="19" w:name="_Toc17632"/>
      <w:r>
        <w:rPr>
          <w:rFonts w:hint="eastAsia"/>
        </w:rPr>
        <w:t>（二）学生学习成效</w:t>
      </w:r>
      <w:bookmarkEnd w:id="19"/>
    </w:p>
    <w:p>
      <w:pPr>
        <w:widowControl/>
        <w:shd w:val="clear" w:color="auto" w:fill="FFFFFF"/>
        <w:spacing w:after="156" w:afterLines="50" w:line="400" w:lineRule="exact"/>
        <w:jc w:val="left"/>
        <w:rPr>
          <w:rFonts w:ascii="宋体" w:hAnsi="宋体" w:cs="宋体"/>
          <w:kern w:val="0"/>
          <w:sz w:val="24"/>
          <w:szCs w:val="24"/>
        </w:rPr>
      </w:pPr>
      <w:r>
        <w:rPr>
          <w:rFonts w:ascii="宋体" w:hAnsi="宋体" w:cs="宋体"/>
          <w:kern w:val="0"/>
          <w:sz w:val="24"/>
          <w:szCs w:val="24"/>
        </w:rPr>
        <w:t xml:space="preserve">    </w:t>
      </w:r>
      <w:r>
        <w:rPr>
          <w:rFonts w:hint="eastAsia" w:ascii="宋体" w:hAnsi="宋体" w:cs="宋体"/>
          <w:kern w:val="0"/>
          <w:sz w:val="24"/>
          <w:szCs w:val="24"/>
        </w:rPr>
        <w:t>本专业2</w:t>
      </w:r>
      <w:r>
        <w:rPr>
          <w:rFonts w:ascii="宋体" w:hAnsi="宋体" w:cs="宋体"/>
          <w:kern w:val="0"/>
          <w:sz w:val="24"/>
          <w:szCs w:val="24"/>
        </w:rPr>
        <w:t>020–2022</w:t>
      </w:r>
      <w:r>
        <w:rPr>
          <w:rFonts w:hint="eastAsia" w:ascii="宋体" w:hAnsi="宋体" w:cs="宋体"/>
          <w:kern w:val="0"/>
          <w:sz w:val="24"/>
          <w:szCs w:val="24"/>
        </w:rPr>
        <w:t>级学生绩点分布情况如表</w:t>
      </w:r>
      <w:r>
        <w:rPr>
          <w:rFonts w:ascii="宋体" w:hAnsi="宋体" w:cs="宋体"/>
          <w:kern w:val="0"/>
          <w:sz w:val="24"/>
          <w:szCs w:val="24"/>
        </w:rPr>
        <w:t>9</w:t>
      </w:r>
      <w:r>
        <w:rPr>
          <w:rFonts w:hint="eastAsia" w:ascii="宋体" w:hAnsi="宋体" w:cs="宋体"/>
          <w:kern w:val="0"/>
          <w:sz w:val="24"/>
          <w:szCs w:val="24"/>
        </w:rPr>
        <w:t>所示。</w:t>
      </w:r>
    </w:p>
    <w:tbl>
      <w:tblPr>
        <w:tblStyle w:val="10"/>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1"/>
        <w:gridCol w:w="521"/>
        <w:gridCol w:w="521"/>
        <w:gridCol w:w="521"/>
        <w:gridCol w:w="521"/>
        <w:gridCol w:w="521"/>
        <w:gridCol w:w="521"/>
        <w:gridCol w:w="521"/>
        <w:gridCol w:w="521"/>
        <w:gridCol w:w="521"/>
        <w:gridCol w:w="521"/>
        <w:gridCol w:w="521"/>
        <w:gridCol w:w="521"/>
        <w:gridCol w:w="521"/>
        <w:gridCol w:w="521"/>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8336" w:type="dxa"/>
            <w:gridSpan w:val="16"/>
            <w:shd w:val="clear" w:color="auto" w:fill="EEEEEE"/>
            <w:tcMar>
              <w:top w:w="15" w:type="dxa"/>
              <w:left w:w="15" w:type="dxa"/>
              <w:right w:w="15" w:type="dxa"/>
            </w:tcMar>
            <w:vAlign w:val="center"/>
          </w:tcPr>
          <w:p>
            <w:pPr>
              <w:widowControl/>
              <w:jc w:val="center"/>
              <w:textAlignment w:val="center"/>
              <w:rPr>
                <w:rFonts w:ascii="Times New Roman" w:hAnsi="Times New Roman" w:eastAsia="楷体"/>
                <w:b/>
                <w:color w:val="000000"/>
                <w:szCs w:val="21"/>
              </w:rPr>
            </w:pPr>
            <w:r>
              <w:rPr>
                <w:rFonts w:ascii="Times New Roman" w:hAnsi="Times New Roman" w:eastAsia="楷体"/>
                <w:b/>
                <w:color w:val="000000"/>
                <w:kern w:val="0"/>
                <w:szCs w:val="21"/>
                <w:lang w:bidi="ar"/>
              </w:rPr>
              <w:t>表</w:t>
            </w:r>
            <w:r>
              <w:rPr>
                <w:rFonts w:hint="eastAsia" w:ascii="Times New Roman" w:hAnsi="Times New Roman" w:eastAsia="楷体"/>
                <w:b/>
                <w:color w:val="000000"/>
                <w:kern w:val="0"/>
                <w:szCs w:val="21"/>
                <w:lang w:bidi="ar"/>
              </w:rPr>
              <w:t>9</w:t>
            </w:r>
            <w:r>
              <w:rPr>
                <w:rFonts w:ascii="Times New Roman" w:hAnsi="Times New Roman" w:eastAsia="楷体"/>
                <w:b/>
                <w:color w:val="000000"/>
                <w:kern w:val="0"/>
                <w:szCs w:val="21"/>
                <w:lang w:bidi="ar"/>
              </w:rPr>
              <w:t xml:space="preserve"> 学生学习情况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21" w:type="dxa"/>
            <w:vMerge w:val="restart"/>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年级</w:t>
            </w:r>
          </w:p>
        </w:tc>
        <w:tc>
          <w:tcPr>
            <w:tcW w:w="521" w:type="dxa"/>
            <w:vMerge w:val="restart"/>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学生数</w:t>
            </w:r>
          </w:p>
        </w:tc>
        <w:tc>
          <w:tcPr>
            <w:tcW w:w="1042" w:type="dxa"/>
            <w:gridSpan w:val="2"/>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[3.5,4]</w:t>
            </w:r>
          </w:p>
        </w:tc>
        <w:tc>
          <w:tcPr>
            <w:tcW w:w="1042" w:type="dxa"/>
            <w:gridSpan w:val="2"/>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[3,3.5)</w:t>
            </w:r>
          </w:p>
        </w:tc>
        <w:tc>
          <w:tcPr>
            <w:tcW w:w="1042" w:type="dxa"/>
            <w:gridSpan w:val="2"/>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[2.5,3)</w:t>
            </w:r>
          </w:p>
        </w:tc>
        <w:tc>
          <w:tcPr>
            <w:tcW w:w="1042" w:type="dxa"/>
            <w:gridSpan w:val="2"/>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[2,2.5)</w:t>
            </w:r>
          </w:p>
        </w:tc>
        <w:tc>
          <w:tcPr>
            <w:tcW w:w="1042" w:type="dxa"/>
            <w:gridSpan w:val="2"/>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[1.5,2)</w:t>
            </w:r>
          </w:p>
        </w:tc>
        <w:tc>
          <w:tcPr>
            <w:tcW w:w="1042" w:type="dxa"/>
            <w:gridSpan w:val="2"/>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[1,1.5)</w:t>
            </w:r>
          </w:p>
        </w:tc>
        <w:tc>
          <w:tcPr>
            <w:tcW w:w="1042" w:type="dxa"/>
            <w:gridSpan w:val="2"/>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21" w:type="dxa"/>
            <w:vMerge w:val="continue"/>
            <w:tcMar>
              <w:top w:w="15" w:type="dxa"/>
              <w:left w:w="15" w:type="dxa"/>
              <w:right w:w="15" w:type="dxa"/>
            </w:tcMar>
            <w:vAlign w:val="center"/>
          </w:tcPr>
          <w:p>
            <w:pPr>
              <w:jc w:val="center"/>
              <w:rPr>
                <w:rFonts w:ascii="Times New Roman" w:hAnsi="Times New Roman" w:eastAsia="楷体"/>
                <w:color w:val="000000"/>
                <w:szCs w:val="21"/>
              </w:rPr>
            </w:pPr>
          </w:p>
        </w:tc>
        <w:tc>
          <w:tcPr>
            <w:tcW w:w="521" w:type="dxa"/>
            <w:vMerge w:val="continue"/>
            <w:tcMar>
              <w:top w:w="15" w:type="dxa"/>
              <w:left w:w="15" w:type="dxa"/>
              <w:right w:w="15" w:type="dxa"/>
            </w:tcMar>
            <w:vAlign w:val="center"/>
          </w:tcPr>
          <w:p>
            <w:pPr>
              <w:jc w:val="center"/>
              <w:rPr>
                <w:rFonts w:ascii="Times New Roman" w:hAnsi="Times New Roman" w:eastAsia="楷体"/>
                <w:color w:val="000000"/>
                <w:szCs w:val="21"/>
              </w:rPr>
            </w:pP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人数</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kern w:val="0"/>
                <w:szCs w:val="21"/>
                <w:lang w:bidi="ar"/>
              </w:rPr>
            </w:pPr>
            <w:r>
              <w:rPr>
                <w:rFonts w:ascii="Times New Roman" w:hAnsi="Times New Roman" w:eastAsia="楷体"/>
                <w:color w:val="000000"/>
                <w:kern w:val="0"/>
                <w:szCs w:val="21"/>
                <w:lang w:bidi="ar"/>
              </w:rPr>
              <w:t>比例</w:t>
            </w:r>
          </w:p>
          <w:p>
            <w:pPr>
              <w:widowControl/>
              <w:jc w:val="center"/>
              <w:textAlignment w:val="center"/>
              <w:rPr>
                <w:rFonts w:ascii="Times New Roman" w:hAnsi="Times New Roman" w:eastAsia="楷体"/>
                <w:color w:val="000000"/>
                <w:szCs w:val="21"/>
              </w:rPr>
            </w:pPr>
            <w:r>
              <w:rPr>
                <w:rFonts w:hint="eastAsia" w:ascii="Times New Roman" w:hAnsi="Times New Roman" w:eastAsia="楷体"/>
                <w:color w:val="000000"/>
                <w:szCs w:val="21"/>
              </w:rPr>
              <w:t>(</w:t>
            </w:r>
            <w:r>
              <w:rPr>
                <w:rFonts w:ascii="Times New Roman" w:hAnsi="Times New Roman" w:eastAsia="楷体"/>
                <w:color w:val="000000"/>
                <w:szCs w:val="21"/>
              </w:rPr>
              <w:t>%)</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人数</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比例</w:t>
            </w:r>
            <w:r>
              <w:rPr>
                <w:rFonts w:hint="eastAsia" w:ascii="Times New Roman" w:hAnsi="Times New Roman" w:eastAsia="楷体"/>
                <w:color w:val="000000"/>
                <w:szCs w:val="21"/>
              </w:rPr>
              <w:t>(</w:t>
            </w:r>
            <w:r>
              <w:rPr>
                <w:rFonts w:ascii="Times New Roman" w:hAnsi="Times New Roman" w:eastAsia="楷体"/>
                <w:color w:val="000000"/>
                <w:szCs w:val="21"/>
              </w:rPr>
              <w:t>%)</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人数</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比例</w:t>
            </w:r>
            <w:r>
              <w:rPr>
                <w:rFonts w:hint="eastAsia" w:ascii="Times New Roman" w:hAnsi="Times New Roman" w:eastAsia="楷体"/>
                <w:color w:val="000000"/>
                <w:szCs w:val="21"/>
              </w:rPr>
              <w:t>(</w:t>
            </w:r>
            <w:r>
              <w:rPr>
                <w:rFonts w:ascii="Times New Roman" w:hAnsi="Times New Roman" w:eastAsia="楷体"/>
                <w:color w:val="000000"/>
                <w:szCs w:val="21"/>
              </w:rPr>
              <w:t>%)</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人数</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比例</w:t>
            </w:r>
            <w:r>
              <w:rPr>
                <w:rFonts w:hint="eastAsia" w:ascii="Times New Roman" w:hAnsi="Times New Roman" w:eastAsia="楷体"/>
                <w:color w:val="000000"/>
                <w:szCs w:val="21"/>
              </w:rPr>
              <w:t>(</w:t>
            </w:r>
            <w:r>
              <w:rPr>
                <w:rFonts w:ascii="Times New Roman" w:hAnsi="Times New Roman" w:eastAsia="楷体"/>
                <w:color w:val="000000"/>
                <w:szCs w:val="21"/>
              </w:rPr>
              <w:t>%)</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人数</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比例</w:t>
            </w:r>
            <w:r>
              <w:rPr>
                <w:rFonts w:hint="eastAsia" w:ascii="Times New Roman" w:hAnsi="Times New Roman" w:eastAsia="楷体"/>
                <w:color w:val="000000"/>
                <w:szCs w:val="21"/>
              </w:rPr>
              <w:t>(</w:t>
            </w:r>
            <w:r>
              <w:rPr>
                <w:rFonts w:ascii="Times New Roman" w:hAnsi="Times New Roman" w:eastAsia="楷体"/>
                <w:color w:val="000000"/>
                <w:szCs w:val="21"/>
              </w:rPr>
              <w:t>%)</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人数</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比例</w:t>
            </w:r>
            <w:r>
              <w:rPr>
                <w:rFonts w:hint="eastAsia" w:ascii="Times New Roman" w:hAnsi="Times New Roman" w:eastAsia="楷体"/>
                <w:color w:val="000000"/>
                <w:szCs w:val="21"/>
              </w:rPr>
              <w:t>(</w:t>
            </w:r>
            <w:r>
              <w:rPr>
                <w:rFonts w:ascii="Times New Roman" w:hAnsi="Times New Roman" w:eastAsia="楷体"/>
                <w:color w:val="000000"/>
                <w:szCs w:val="21"/>
              </w:rPr>
              <w:t>%)</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人数</w:t>
            </w:r>
          </w:p>
        </w:tc>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比例</w:t>
            </w:r>
            <w:r>
              <w:rPr>
                <w:rFonts w:hint="eastAsia" w:ascii="Times New Roman" w:hAnsi="Times New Roman" w:eastAsia="楷体"/>
                <w:color w:val="000000"/>
                <w:szCs w:val="21"/>
              </w:rPr>
              <w:t>(</w:t>
            </w:r>
            <w:r>
              <w:rPr>
                <w:rFonts w:ascii="Times New Roman" w:hAnsi="Times New Roman" w:eastAsia="楷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2022</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40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9</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22.5</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26</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65</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5</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12.5</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2021</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56</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微软雅黑"/>
                <w:color w:val="000000"/>
                <w:szCs w:val="21"/>
              </w:rPr>
              <w:t>5</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8.9</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微软雅黑"/>
                <w:color w:val="000000"/>
                <w:szCs w:val="21"/>
              </w:rPr>
              <w:t>24</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42.9</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20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35.7</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7</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12.5</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21" w:type="dxa"/>
            <w:tcMar>
              <w:top w:w="15" w:type="dxa"/>
              <w:left w:w="15" w:type="dxa"/>
              <w:right w:w="15" w:type="dxa"/>
            </w:tcMar>
            <w:vAlign w:val="center"/>
          </w:tcPr>
          <w:p>
            <w:pPr>
              <w:widowControl/>
              <w:jc w:val="center"/>
              <w:textAlignment w:val="center"/>
              <w:rPr>
                <w:rFonts w:ascii="Times New Roman" w:hAnsi="Times New Roman" w:eastAsia="楷体"/>
                <w:color w:val="000000"/>
                <w:szCs w:val="21"/>
              </w:rPr>
            </w:pPr>
            <w:r>
              <w:rPr>
                <w:rFonts w:ascii="Times New Roman" w:hAnsi="Times New Roman" w:eastAsia="楷体"/>
                <w:color w:val="000000"/>
                <w:kern w:val="0"/>
                <w:szCs w:val="21"/>
                <w:lang w:bidi="ar"/>
              </w:rPr>
              <w:t>2020</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楷体"/>
                <w:color w:val="000000"/>
                <w:szCs w:val="21"/>
              </w:rPr>
              <w:t>146</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24</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16.4</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57</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39</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43</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29.5</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15</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10.3</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2</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1.4</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2</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1.4</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3</w:t>
            </w:r>
          </w:p>
        </w:tc>
        <w:tc>
          <w:tcPr>
            <w:tcW w:w="521" w:type="dxa"/>
            <w:tcMar>
              <w:top w:w="15" w:type="dxa"/>
              <w:left w:w="15" w:type="dxa"/>
              <w:right w:w="15" w:type="dxa"/>
            </w:tcMar>
            <w:vAlign w:val="center"/>
          </w:tcPr>
          <w:p>
            <w:pPr>
              <w:jc w:val="center"/>
              <w:rPr>
                <w:rFonts w:ascii="Times New Roman" w:hAnsi="Times New Roman" w:eastAsia="楷体"/>
                <w:color w:val="000000"/>
                <w:szCs w:val="21"/>
              </w:rPr>
            </w:pPr>
            <w:r>
              <w:rPr>
                <w:rFonts w:ascii="Times New Roman" w:hAnsi="Times New Roman" w:eastAsia="等线"/>
                <w:color w:val="000000"/>
                <w:szCs w:val="21"/>
              </w:rPr>
              <w:t>2</w:t>
            </w:r>
          </w:p>
        </w:tc>
      </w:tr>
    </w:tbl>
    <w:p>
      <w:pPr>
        <w:spacing w:line="360" w:lineRule="auto"/>
        <w:ind w:firstLine="480" w:firstLineChars="200"/>
        <w:rPr>
          <w:rFonts w:ascii="Times New Roman" w:hAnsi="Times New Roman" w:eastAsia="楷体"/>
          <w:sz w:val="24"/>
        </w:rPr>
      </w:pPr>
    </w:p>
    <w:p>
      <w:pPr>
        <w:spacing w:line="360" w:lineRule="auto"/>
        <w:ind w:firstLine="480" w:firstLineChars="200"/>
        <w:rPr>
          <w:rFonts w:ascii="仿宋_GB2312" w:hAnsi="宋体" w:eastAsia="仿宋_GB2312" w:cs="宋体"/>
          <w:kern w:val="0"/>
          <w:sz w:val="24"/>
          <w:szCs w:val="24"/>
        </w:rPr>
      </w:pPr>
      <w:r>
        <w:rPr>
          <w:rFonts w:ascii="仿宋_GB2312" w:hAnsi="宋体" w:eastAsia="仿宋_GB2312" w:cs="宋体"/>
          <w:kern w:val="0"/>
          <w:sz w:val="24"/>
          <w:szCs w:val="24"/>
        </w:rPr>
        <w:t>本专业学生积极参加专业学习之外的学习及科技文化活动，如外语类学习活动（如英语等级、雅思等）、各类竞赛（如全国高校模拟飞行锦标赛</w:t>
      </w:r>
      <w:r>
        <w:rPr>
          <w:rFonts w:hint="eastAsia" w:ascii="仿宋_GB2312" w:hAnsi="宋体" w:eastAsia="仿宋_GB2312" w:cs="宋体"/>
          <w:kern w:val="0"/>
          <w:sz w:val="24"/>
          <w:szCs w:val="24"/>
        </w:rPr>
        <w:t>、上海市模拟飞行锦标赛、中国模拟飞行全民线上打榜赛、全国大学生英语竞赛</w:t>
      </w:r>
      <w:r>
        <w:rPr>
          <w:rFonts w:ascii="仿宋_GB2312" w:hAnsi="宋体" w:eastAsia="仿宋_GB2312" w:cs="宋体"/>
          <w:kern w:val="0"/>
          <w:sz w:val="24"/>
          <w:szCs w:val="24"/>
        </w:rPr>
        <w:t>）等，参与人数100%。</w:t>
      </w:r>
      <w:r>
        <w:rPr>
          <w:rFonts w:hint="eastAsia" w:ascii="仿宋_GB2312" w:hAnsi="宋体" w:eastAsia="仿宋_GB2312" w:cs="宋体"/>
          <w:kern w:val="0"/>
          <w:sz w:val="24"/>
          <w:szCs w:val="24"/>
        </w:rPr>
        <w:t>其中，英语四级通过率为：2</w:t>
      </w:r>
      <w:r>
        <w:rPr>
          <w:rFonts w:ascii="仿宋_GB2312" w:hAnsi="宋体" w:eastAsia="仿宋_GB2312" w:cs="宋体"/>
          <w:kern w:val="0"/>
          <w:sz w:val="24"/>
          <w:szCs w:val="24"/>
        </w:rPr>
        <w:t>021</w:t>
      </w:r>
      <w:r>
        <w:rPr>
          <w:rFonts w:hint="eastAsia" w:ascii="仿宋_GB2312" w:hAnsi="宋体" w:eastAsia="仿宋_GB2312" w:cs="宋体"/>
          <w:kern w:val="0"/>
          <w:sz w:val="24"/>
          <w:szCs w:val="24"/>
        </w:rPr>
        <w:t>级7</w:t>
      </w:r>
      <w:r>
        <w:rPr>
          <w:rFonts w:ascii="仿宋_GB2312" w:hAnsi="宋体" w:eastAsia="仿宋_GB2312" w:cs="宋体"/>
          <w:kern w:val="0"/>
          <w:sz w:val="24"/>
          <w:szCs w:val="24"/>
        </w:rPr>
        <w:t>3.2%</w:t>
      </w:r>
      <w:r>
        <w:rPr>
          <w:rFonts w:hint="eastAsia" w:ascii="仿宋_GB2312" w:hAnsi="宋体" w:eastAsia="仿宋_GB2312" w:cs="宋体"/>
          <w:kern w:val="0"/>
          <w:sz w:val="24"/>
          <w:szCs w:val="24"/>
        </w:rPr>
        <w:t>，2</w:t>
      </w:r>
      <w:r>
        <w:rPr>
          <w:rFonts w:ascii="仿宋_GB2312" w:hAnsi="宋体" w:eastAsia="仿宋_GB2312" w:cs="宋体"/>
          <w:kern w:val="0"/>
          <w:sz w:val="24"/>
          <w:szCs w:val="24"/>
        </w:rPr>
        <w:t>020</w:t>
      </w:r>
      <w:r>
        <w:rPr>
          <w:rFonts w:hint="eastAsia" w:ascii="仿宋_GB2312" w:hAnsi="宋体" w:eastAsia="仿宋_GB2312" w:cs="宋体"/>
          <w:kern w:val="0"/>
          <w:sz w:val="24"/>
          <w:szCs w:val="24"/>
        </w:rPr>
        <w:t>级9</w:t>
      </w:r>
      <w:r>
        <w:rPr>
          <w:rFonts w:ascii="仿宋_GB2312" w:hAnsi="宋体" w:eastAsia="仿宋_GB2312" w:cs="宋体"/>
          <w:kern w:val="0"/>
          <w:sz w:val="24"/>
          <w:szCs w:val="24"/>
        </w:rPr>
        <w:t>4.5%</w:t>
      </w:r>
      <w:r>
        <w:rPr>
          <w:rFonts w:hint="eastAsia" w:ascii="仿宋_GB2312" w:hAnsi="宋体" w:eastAsia="仿宋_GB2312" w:cs="宋体"/>
          <w:kern w:val="0"/>
          <w:sz w:val="24"/>
          <w:szCs w:val="24"/>
        </w:rPr>
        <w:t>。</w:t>
      </w:r>
    </w:p>
    <w:p>
      <w:pPr>
        <w:spacing w:line="360" w:lineRule="auto"/>
        <w:ind w:firstLine="480" w:firstLineChars="200"/>
        <w:rPr>
          <w:rFonts w:ascii="仿宋_GB2312" w:hAnsi="宋体" w:eastAsia="仿宋_GB2312" w:cs="宋体"/>
          <w:kern w:val="0"/>
          <w:sz w:val="24"/>
          <w:szCs w:val="24"/>
        </w:rPr>
      </w:pPr>
      <w:r>
        <w:rPr>
          <w:rFonts w:ascii="仿宋_GB2312" w:hAnsi="宋体" w:eastAsia="仿宋_GB2312" w:cs="宋体"/>
          <w:kern w:val="0"/>
          <w:sz w:val="24"/>
          <w:szCs w:val="24"/>
        </w:rPr>
        <w:t>因飞行技术专业人才培养特点，</w:t>
      </w:r>
      <w:r>
        <w:rPr>
          <w:rFonts w:hint="eastAsia" w:ascii="仿宋_GB2312" w:hAnsi="宋体" w:eastAsia="仿宋_GB2312" w:cs="宋体"/>
          <w:kern w:val="0"/>
          <w:sz w:val="24"/>
          <w:szCs w:val="24"/>
        </w:rPr>
        <w:t>本学年</w:t>
      </w:r>
      <w:r>
        <w:rPr>
          <w:rFonts w:ascii="仿宋_GB2312" w:hAnsi="宋体" w:eastAsia="仿宋_GB2312" w:cs="宋体"/>
          <w:kern w:val="0"/>
          <w:sz w:val="24"/>
          <w:szCs w:val="24"/>
        </w:rPr>
        <w:t>毕业学生主要为201</w:t>
      </w:r>
      <w:r>
        <w:rPr>
          <w:rFonts w:hint="eastAsia" w:ascii="仿宋_GB2312" w:hAnsi="宋体" w:eastAsia="仿宋_GB2312" w:cs="宋体"/>
          <w:kern w:val="0"/>
          <w:sz w:val="24"/>
          <w:szCs w:val="24"/>
        </w:rPr>
        <w:t>6和2</w:t>
      </w:r>
      <w:r>
        <w:rPr>
          <w:rFonts w:ascii="仿宋_GB2312" w:hAnsi="宋体" w:eastAsia="仿宋_GB2312" w:cs="宋体"/>
          <w:kern w:val="0"/>
          <w:sz w:val="24"/>
          <w:szCs w:val="24"/>
        </w:rPr>
        <w:t>017级学生，所有已完成航校飞行训练实习返校开展毕业论文学习任务的学生共计77人，所有学生均完成培养计划学习任务，就业率100%。</w:t>
      </w:r>
      <w:r>
        <w:rPr>
          <w:rFonts w:hint="eastAsia" w:ascii="仿宋_GB2312" w:hAnsi="宋体" w:eastAsia="仿宋_GB2312" w:cs="宋体"/>
          <w:kern w:val="0"/>
          <w:sz w:val="24"/>
          <w:szCs w:val="24"/>
        </w:rPr>
        <w:t>需要说明的是，表</w:t>
      </w:r>
      <w:r>
        <w:rPr>
          <w:rFonts w:ascii="仿宋_GB2312" w:hAnsi="宋体" w:eastAsia="仿宋_GB2312" w:cs="宋体"/>
          <w:kern w:val="0"/>
          <w:sz w:val="24"/>
          <w:szCs w:val="24"/>
        </w:rPr>
        <w:t>10</w:t>
      </w:r>
      <w:r>
        <w:rPr>
          <w:rFonts w:hint="eastAsia" w:ascii="仿宋_GB2312" w:hAnsi="宋体" w:eastAsia="仿宋_GB2312" w:cs="宋体"/>
          <w:kern w:val="0"/>
          <w:sz w:val="24"/>
          <w:szCs w:val="24"/>
        </w:rPr>
        <w:t>是对实际毕业生数量进行统计，而非各年级人数。</w:t>
      </w:r>
    </w:p>
    <w:p>
      <w:pPr>
        <w:widowControl/>
        <w:shd w:val="clear" w:color="auto" w:fill="FFFFFF"/>
        <w:spacing w:before="156" w:beforeLines="50" w:line="360" w:lineRule="auto"/>
        <w:jc w:val="center"/>
        <w:rPr>
          <w:rFonts w:ascii="黑体" w:hAnsi="黑体" w:eastAsia="黑体" w:cs="黑体"/>
          <w:b/>
          <w:bCs/>
          <w:color w:val="333333"/>
          <w:kern w:val="0"/>
          <w:sz w:val="24"/>
          <w:szCs w:val="24"/>
        </w:rPr>
      </w:pPr>
      <w:r>
        <w:rPr>
          <w:rFonts w:hint="eastAsia" w:ascii="黑体" w:hAnsi="黑体" w:eastAsia="黑体" w:cs="黑体"/>
          <w:b/>
          <w:bCs/>
          <w:color w:val="333333"/>
          <w:kern w:val="0"/>
          <w:sz w:val="24"/>
          <w:szCs w:val="24"/>
        </w:rPr>
        <w:t>表1</w:t>
      </w:r>
      <w:r>
        <w:rPr>
          <w:rFonts w:ascii="黑体" w:hAnsi="黑体" w:eastAsia="黑体" w:cs="黑体"/>
          <w:b/>
          <w:bCs/>
          <w:color w:val="333333"/>
          <w:kern w:val="0"/>
          <w:sz w:val="24"/>
          <w:szCs w:val="24"/>
        </w:rPr>
        <w:t>0</w:t>
      </w:r>
      <w:r>
        <w:rPr>
          <w:rFonts w:hint="eastAsia" w:ascii="黑体" w:hAnsi="黑体" w:eastAsia="黑体" w:cs="黑体"/>
          <w:b/>
          <w:bCs/>
          <w:color w:val="333333"/>
          <w:kern w:val="0"/>
          <w:sz w:val="24"/>
          <w:szCs w:val="24"/>
        </w:rPr>
        <w:t xml:space="preserve"> 毕业生情况</w:t>
      </w:r>
    </w:p>
    <w:tbl>
      <w:tblPr>
        <w:tblStyle w:val="10"/>
        <w:tblW w:w="5109" w:type="pct"/>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autofit"/>
        <w:tblCellMar>
          <w:top w:w="15" w:type="dxa"/>
          <w:left w:w="15" w:type="dxa"/>
          <w:bottom w:w="15" w:type="dxa"/>
          <w:right w:w="15" w:type="dxa"/>
        </w:tblCellMar>
      </w:tblPr>
      <w:tblGrid>
        <w:gridCol w:w="919"/>
        <w:gridCol w:w="1346"/>
        <w:gridCol w:w="1096"/>
        <w:gridCol w:w="736"/>
        <w:gridCol w:w="1566"/>
        <w:gridCol w:w="1254"/>
        <w:gridCol w:w="1601"/>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1043" w:hRule="atLeast"/>
          <w:tblHeader/>
        </w:trPr>
        <w:tc>
          <w:tcPr>
            <w:tcW w:w="539" w:type="pct"/>
            <w:tcBorders>
              <w:top w:val="single" w:color="4F81BD" w:sz="8" w:space="0"/>
              <w:left w:val="single" w:color="4F81BD" w:sz="8"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sz w:val="22"/>
              </w:rPr>
            </w:pPr>
            <w:r>
              <w:rPr>
                <w:rFonts w:hint="eastAsia" w:ascii="黑体" w:hAnsi="黑体" w:eastAsia="黑体" w:cs="黑体"/>
                <w:b/>
                <w:bCs/>
                <w:color w:val="FFFFFF"/>
                <w:sz w:val="22"/>
              </w:rPr>
              <w:t>应届毕 业生数</w:t>
            </w:r>
          </w:p>
        </w:tc>
        <w:tc>
          <w:tcPr>
            <w:tcW w:w="790"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sz w:val="22"/>
              </w:rPr>
            </w:pPr>
            <w:r>
              <w:rPr>
                <w:rFonts w:hint="eastAsia" w:ascii="黑体" w:hAnsi="黑体" w:eastAsia="黑体" w:cs="黑体"/>
                <w:b/>
                <w:bCs/>
                <w:color w:val="FFFFFF"/>
                <w:sz w:val="22"/>
              </w:rPr>
              <w:t>应届生中未按时毕业数</w:t>
            </w:r>
          </w:p>
        </w:tc>
        <w:tc>
          <w:tcPr>
            <w:tcW w:w="643"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sz w:val="22"/>
              </w:rPr>
            </w:pPr>
            <w:r>
              <w:rPr>
                <w:rFonts w:hint="eastAsia" w:ascii="黑体" w:hAnsi="黑体" w:eastAsia="黑体" w:cs="黑体"/>
                <w:b/>
                <w:bCs/>
                <w:color w:val="FFFFFF"/>
                <w:sz w:val="22"/>
              </w:rPr>
              <w:t>毕业率</w:t>
            </w:r>
          </w:p>
          <w:p>
            <w:pPr>
              <w:spacing w:line="400" w:lineRule="exact"/>
              <w:jc w:val="center"/>
              <w:rPr>
                <w:rFonts w:ascii="黑体" w:hAnsi="黑体" w:eastAsia="黑体" w:cs="黑体"/>
                <w:b/>
                <w:bCs/>
                <w:color w:val="FFFFFF"/>
                <w:sz w:val="22"/>
              </w:rPr>
            </w:pPr>
            <w:r>
              <w:rPr>
                <w:rFonts w:hint="eastAsia" w:ascii="黑体" w:hAnsi="黑体" w:eastAsia="黑体" w:cs="黑体"/>
                <w:b/>
                <w:bCs/>
                <w:color w:val="FFFFFF"/>
                <w:sz w:val="22"/>
              </w:rPr>
              <w:t>（%）</w:t>
            </w:r>
          </w:p>
        </w:tc>
        <w:tc>
          <w:tcPr>
            <w:tcW w:w="432"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sz w:val="22"/>
              </w:rPr>
            </w:pPr>
            <w:r>
              <w:rPr>
                <w:rFonts w:hint="eastAsia" w:ascii="黑体" w:hAnsi="黑体" w:eastAsia="黑体" w:cs="黑体"/>
                <w:b/>
                <w:bCs/>
                <w:color w:val="FFFFFF"/>
                <w:sz w:val="22"/>
              </w:rPr>
              <w:t>学位授予数</w:t>
            </w:r>
          </w:p>
        </w:tc>
        <w:tc>
          <w:tcPr>
            <w:tcW w:w="919"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sz w:val="22"/>
              </w:rPr>
            </w:pPr>
            <w:r>
              <w:rPr>
                <w:rFonts w:hint="eastAsia" w:ascii="黑体" w:hAnsi="黑体" w:eastAsia="黑体" w:cs="黑体"/>
                <w:b/>
                <w:bCs/>
                <w:color w:val="FFFFFF"/>
                <w:sz w:val="22"/>
              </w:rPr>
              <w:t>毕业生</w:t>
            </w:r>
          </w:p>
          <w:p>
            <w:pPr>
              <w:spacing w:line="400" w:lineRule="exact"/>
              <w:jc w:val="center"/>
              <w:rPr>
                <w:rFonts w:ascii="黑体" w:hAnsi="黑体" w:eastAsia="黑体" w:cs="黑体"/>
                <w:b/>
                <w:bCs/>
                <w:color w:val="FFFFFF"/>
                <w:sz w:val="22"/>
              </w:rPr>
            </w:pPr>
            <w:r>
              <w:rPr>
                <w:rFonts w:hint="eastAsia" w:ascii="黑体" w:hAnsi="黑体" w:eastAsia="黑体" w:cs="黑体"/>
                <w:b/>
                <w:bCs/>
                <w:color w:val="FFFFFF"/>
                <w:sz w:val="22"/>
              </w:rPr>
              <w:t>学位授予率（%）</w:t>
            </w:r>
          </w:p>
        </w:tc>
        <w:tc>
          <w:tcPr>
            <w:tcW w:w="736" w:type="pct"/>
            <w:tcBorders>
              <w:top w:val="single" w:color="4F81BD" w:sz="8" w:space="0"/>
              <w:left w:val="dotted" w:color="auto" w:sz="6" w:space="0"/>
              <w:bottom w:val="single" w:color="4F81BD" w:sz="8" w:space="0"/>
              <w:right w:val="dotted" w:color="auto" w:sz="6" w:space="0"/>
            </w:tcBorders>
            <w:shd w:val="clear" w:color="auto" w:fill="4F81BD"/>
            <w:vAlign w:val="center"/>
          </w:tcPr>
          <w:p>
            <w:pPr>
              <w:spacing w:line="400" w:lineRule="exact"/>
              <w:jc w:val="center"/>
              <w:rPr>
                <w:rFonts w:ascii="黑体" w:hAnsi="黑体" w:eastAsia="黑体" w:cs="黑体"/>
                <w:b/>
                <w:bCs/>
                <w:color w:val="FFFFFF"/>
                <w:sz w:val="22"/>
              </w:rPr>
            </w:pPr>
            <w:r>
              <w:rPr>
                <w:rFonts w:hint="eastAsia" w:ascii="黑体" w:hAnsi="黑体" w:eastAsia="黑体" w:cs="黑体"/>
                <w:b/>
                <w:bCs/>
                <w:color w:val="FFFFFF"/>
                <w:sz w:val="22"/>
              </w:rPr>
              <w:t>应届毕业生就业人数</w:t>
            </w:r>
          </w:p>
        </w:tc>
        <w:tc>
          <w:tcPr>
            <w:tcW w:w="939" w:type="pct"/>
            <w:tcBorders>
              <w:top w:val="single" w:color="4F81BD" w:sz="8" w:space="0"/>
              <w:left w:val="dotted" w:color="auto" w:sz="6" w:space="0"/>
              <w:bottom w:val="single" w:color="4F81BD" w:sz="8" w:space="0"/>
              <w:right w:val="single" w:color="4F81BD" w:sz="8" w:space="0"/>
            </w:tcBorders>
            <w:shd w:val="clear" w:color="auto" w:fill="4F81BD"/>
            <w:vAlign w:val="center"/>
          </w:tcPr>
          <w:p>
            <w:pPr>
              <w:spacing w:line="400" w:lineRule="exact"/>
              <w:jc w:val="center"/>
              <w:rPr>
                <w:rFonts w:ascii="黑体" w:hAnsi="黑体" w:eastAsia="黑体" w:cs="黑体"/>
                <w:b/>
                <w:bCs/>
                <w:color w:val="FFFFFF"/>
                <w:sz w:val="22"/>
              </w:rPr>
            </w:pPr>
            <w:r>
              <w:rPr>
                <w:rFonts w:hint="eastAsia" w:ascii="黑体" w:hAnsi="黑体" w:eastAsia="黑体" w:cs="黑体"/>
                <w:b/>
                <w:bCs/>
                <w:color w:val="FFFFFF"/>
                <w:sz w:val="22"/>
              </w:rPr>
              <w:t>毕业生</w:t>
            </w:r>
          </w:p>
          <w:p>
            <w:pPr>
              <w:spacing w:line="400" w:lineRule="exact"/>
              <w:jc w:val="center"/>
              <w:rPr>
                <w:rFonts w:ascii="黑体" w:hAnsi="黑体" w:eastAsia="黑体" w:cs="黑体"/>
                <w:b/>
                <w:bCs/>
                <w:color w:val="FFFFFF"/>
                <w:sz w:val="22"/>
              </w:rPr>
            </w:pPr>
            <w:r>
              <w:rPr>
                <w:rFonts w:hint="eastAsia" w:ascii="黑体" w:hAnsi="黑体" w:eastAsia="黑体" w:cs="黑体"/>
                <w:b/>
                <w:bCs/>
                <w:color w:val="FFFFFF"/>
                <w:sz w:val="22"/>
              </w:rPr>
              <w:t>初次就业率（%）</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trHeight w:val="726" w:hRule="atLeast"/>
        </w:trPr>
        <w:tc>
          <w:tcPr>
            <w:tcW w:w="539" w:type="pct"/>
            <w:tcBorders>
              <w:top w:val="single" w:color="4F81BD" w:sz="8" w:space="0"/>
              <w:left w:val="single" w:color="4F81BD" w:sz="8" w:space="0"/>
              <w:bottom w:val="single" w:color="4F81BD" w:sz="8" w:space="0"/>
              <w:right w:val="dotted" w:color="auto" w:sz="6" w:space="0"/>
            </w:tcBorders>
            <w:shd w:val="clear" w:color="auto" w:fill="FFFFFF"/>
            <w:vAlign w:val="center"/>
          </w:tcPr>
          <w:p>
            <w:pPr>
              <w:spacing w:line="400" w:lineRule="exact"/>
              <w:jc w:val="center"/>
              <w:rPr>
                <w:rFonts w:ascii="黑体" w:hAnsi="黑体" w:eastAsia="黑体" w:cs="黑体"/>
                <w:b/>
                <w:bCs/>
                <w:color w:val="000000"/>
                <w:sz w:val="24"/>
                <w:szCs w:val="24"/>
              </w:rPr>
            </w:pPr>
            <w:r>
              <w:rPr>
                <w:rFonts w:ascii="黑体" w:hAnsi="黑体" w:eastAsia="黑体" w:cs="黑体"/>
                <w:b/>
                <w:bCs/>
                <w:color w:val="000000"/>
                <w:sz w:val="24"/>
                <w:szCs w:val="24"/>
              </w:rPr>
              <w:t>77</w:t>
            </w:r>
          </w:p>
        </w:tc>
        <w:tc>
          <w:tcPr>
            <w:tcW w:w="790"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rFonts w:ascii="黑体" w:hAnsi="黑体" w:eastAsia="黑体" w:cs="黑体"/>
                <w:b/>
                <w:bCs/>
                <w:color w:val="000000"/>
                <w:sz w:val="24"/>
                <w:szCs w:val="24"/>
              </w:rPr>
            </w:pPr>
            <w:r>
              <w:rPr>
                <w:rFonts w:hint="eastAsia" w:ascii="黑体" w:hAnsi="黑体" w:eastAsia="黑体" w:cs="黑体"/>
                <w:b/>
                <w:bCs/>
                <w:color w:val="000000"/>
                <w:sz w:val="24"/>
                <w:szCs w:val="24"/>
              </w:rPr>
              <w:t>0</w:t>
            </w:r>
          </w:p>
        </w:tc>
        <w:tc>
          <w:tcPr>
            <w:tcW w:w="643"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rFonts w:ascii="黑体" w:hAnsi="黑体" w:eastAsia="黑体" w:cs="黑体"/>
                <w:b/>
                <w:bCs/>
                <w:color w:val="000000"/>
                <w:sz w:val="24"/>
                <w:szCs w:val="24"/>
              </w:rPr>
            </w:pPr>
            <w:r>
              <w:rPr>
                <w:rFonts w:hint="eastAsia" w:ascii="黑体" w:hAnsi="黑体" w:eastAsia="黑体" w:cs="黑体"/>
                <w:b/>
                <w:bCs/>
                <w:color w:val="000000"/>
                <w:sz w:val="24"/>
                <w:szCs w:val="24"/>
              </w:rPr>
              <w:t>1</w:t>
            </w:r>
            <w:r>
              <w:rPr>
                <w:rFonts w:ascii="黑体" w:hAnsi="黑体" w:eastAsia="黑体" w:cs="黑体"/>
                <w:b/>
                <w:bCs/>
                <w:color w:val="000000"/>
                <w:sz w:val="24"/>
                <w:szCs w:val="24"/>
              </w:rPr>
              <w:t>00</w:t>
            </w:r>
          </w:p>
        </w:tc>
        <w:tc>
          <w:tcPr>
            <w:tcW w:w="432"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rFonts w:ascii="黑体" w:hAnsi="黑体" w:eastAsia="黑体" w:cs="黑体"/>
                <w:b/>
                <w:bCs/>
                <w:color w:val="000000"/>
                <w:sz w:val="24"/>
                <w:szCs w:val="24"/>
              </w:rPr>
            </w:pPr>
            <w:r>
              <w:rPr>
                <w:rFonts w:hint="eastAsia" w:ascii="黑体" w:hAnsi="黑体" w:eastAsia="黑体" w:cs="黑体"/>
                <w:b/>
                <w:bCs/>
                <w:color w:val="000000"/>
                <w:sz w:val="24"/>
                <w:szCs w:val="24"/>
              </w:rPr>
              <w:t>7</w:t>
            </w:r>
            <w:r>
              <w:rPr>
                <w:rFonts w:ascii="黑体" w:hAnsi="黑体" w:eastAsia="黑体" w:cs="黑体"/>
                <w:b/>
                <w:bCs/>
                <w:color w:val="000000"/>
                <w:sz w:val="24"/>
                <w:szCs w:val="24"/>
              </w:rPr>
              <w:t>7</w:t>
            </w:r>
          </w:p>
        </w:tc>
        <w:tc>
          <w:tcPr>
            <w:tcW w:w="919"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rFonts w:ascii="黑体" w:hAnsi="黑体" w:eastAsia="黑体" w:cs="黑体"/>
                <w:b/>
                <w:bCs/>
                <w:color w:val="000000"/>
                <w:sz w:val="24"/>
                <w:szCs w:val="24"/>
              </w:rPr>
            </w:pPr>
            <w:r>
              <w:rPr>
                <w:rFonts w:hint="eastAsia" w:ascii="黑体" w:hAnsi="黑体" w:eastAsia="黑体" w:cs="黑体"/>
                <w:b/>
                <w:bCs/>
                <w:color w:val="000000"/>
                <w:sz w:val="24"/>
                <w:szCs w:val="24"/>
              </w:rPr>
              <w:t>1</w:t>
            </w:r>
            <w:r>
              <w:rPr>
                <w:rFonts w:ascii="黑体" w:hAnsi="黑体" w:eastAsia="黑体" w:cs="黑体"/>
                <w:b/>
                <w:bCs/>
                <w:color w:val="000000"/>
                <w:sz w:val="24"/>
                <w:szCs w:val="24"/>
              </w:rPr>
              <w:t>00</w:t>
            </w:r>
          </w:p>
        </w:tc>
        <w:tc>
          <w:tcPr>
            <w:tcW w:w="736" w:type="pct"/>
            <w:tcBorders>
              <w:top w:val="single" w:color="4F81BD" w:sz="8" w:space="0"/>
              <w:left w:val="dotted" w:color="auto" w:sz="6" w:space="0"/>
              <w:bottom w:val="single" w:color="4F81BD" w:sz="8" w:space="0"/>
              <w:right w:val="dotted" w:color="auto" w:sz="6" w:space="0"/>
            </w:tcBorders>
            <w:shd w:val="clear" w:color="auto" w:fill="FFFFFF"/>
            <w:vAlign w:val="center"/>
          </w:tcPr>
          <w:p>
            <w:pPr>
              <w:spacing w:line="400" w:lineRule="exact"/>
              <w:jc w:val="center"/>
              <w:rPr>
                <w:rFonts w:ascii="黑体" w:hAnsi="黑体" w:eastAsia="黑体" w:cs="黑体"/>
                <w:b/>
                <w:bCs/>
                <w:color w:val="000000"/>
                <w:sz w:val="24"/>
                <w:szCs w:val="24"/>
              </w:rPr>
            </w:pPr>
            <w:r>
              <w:rPr>
                <w:rFonts w:hint="eastAsia" w:ascii="黑体" w:hAnsi="黑体" w:eastAsia="黑体" w:cs="黑体"/>
                <w:b/>
                <w:bCs/>
                <w:color w:val="000000"/>
                <w:sz w:val="24"/>
                <w:szCs w:val="24"/>
              </w:rPr>
              <w:t>7</w:t>
            </w:r>
            <w:r>
              <w:rPr>
                <w:rFonts w:ascii="黑体" w:hAnsi="黑体" w:eastAsia="黑体" w:cs="黑体"/>
                <w:b/>
                <w:bCs/>
                <w:color w:val="000000"/>
                <w:sz w:val="24"/>
                <w:szCs w:val="24"/>
              </w:rPr>
              <w:t>7</w:t>
            </w:r>
          </w:p>
        </w:tc>
        <w:tc>
          <w:tcPr>
            <w:tcW w:w="939" w:type="pct"/>
            <w:tcBorders>
              <w:top w:val="single" w:color="4F81BD" w:sz="8" w:space="0"/>
              <w:left w:val="dotted" w:color="auto" w:sz="6" w:space="0"/>
              <w:bottom w:val="single" w:color="4F81BD" w:sz="8" w:space="0"/>
              <w:right w:val="single" w:color="4F81BD" w:sz="8" w:space="0"/>
            </w:tcBorders>
            <w:shd w:val="clear" w:color="auto" w:fill="FFFFFF"/>
            <w:vAlign w:val="center"/>
          </w:tcPr>
          <w:p>
            <w:pPr>
              <w:spacing w:line="400" w:lineRule="exact"/>
              <w:jc w:val="center"/>
              <w:rPr>
                <w:rFonts w:ascii="黑体" w:hAnsi="黑体" w:eastAsia="黑体" w:cs="黑体"/>
                <w:b/>
                <w:bCs/>
                <w:color w:val="000000"/>
                <w:sz w:val="24"/>
                <w:szCs w:val="24"/>
              </w:rPr>
            </w:pPr>
            <w:r>
              <w:rPr>
                <w:rFonts w:hint="eastAsia" w:ascii="黑体" w:hAnsi="黑体" w:eastAsia="黑体" w:cs="黑体"/>
                <w:b/>
                <w:bCs/>
                <w:color w:val="000000"/>
                <w:sz w:val="24"/>
                <w:szCs w:val="24"/>
              </w:rPr>
              <w:t>1</w:t>
            </w:r>
            <w:r>
              <w:rPr>
                <w:rFonts w:ascii="黑体" w:hAnsi="黑体" w:eastAsia="黑体" w:cs="黑体"/>
                <w:b/>
                <w:bCs/>
                <w:color w:val="000000"/>
                <w:sz w:val="24"/>
                <w:szCs w:val="24"/>
              </w:rPr>
              <w:t>00</w:t>
            </w:r>
          </w:p>
        </w:tc>
      </w:tr>
    </w:tbl>
    <w:p/>
    <w:p>
      <w:pPr>
        <w:pStyle w:val="2"/>
      </w:pPr>
      <w:bookmarkStart w:id="20" w:name="_Toc6240"/>
      <w:r>
        <w:rPr>
          <w:rFonts w:hint="eastAsia"/>
        </w:rPr>
        <w:t>六、特色发展与案例</w:t>
      </w:r>
      <w:bookmarkEnd w:id="20"/>
    </w:p>
    <w:p>
      <w:pPr>
        <w:spacing w:line="360" w:lineRule="auto"/>
        <w:ind w:firstLine="480" w:firstLineChars="200"/>
        <w:jc w:val="left"/>
        <w:rPr>
          <w:rFonts w:ascii="仿宋_GB2312" w:hAnsi="Times New Roman" w:eastAsia="仿宋_GB2312"/>
          <w:bCs/>
          <w:sz w:val="24"/>
        </w:rPr>
      </w:pPr>
      <w:r>
        <w:rPr>
          <w:rFonts w:hint="eastAsia" w:ascii="仿宋_GB2312" w:hAnsi="Times New Roman" w:eastAsia="仿宋_GB2312"/>
          <w:bCs/>
          <w:sz w:val="24"/>
        </w:rPr>
        <w:t>作为上海市唯一培养飞行技术专业人才的高校，我校响应新时代民航强国国家发展战略，坚持立德树人为根本，结合学校“建设一流的现代化工程应用型特色大学”办学目标，围绕“培养担当民航强国建设重任的时代新人”育人目标，专业未来三年将围绕基于“双证融通”的飞行技术一流专业应用型人才培养模式改革创新实践，以学生为中心，着眼厚植航空报国家国情怀、提高国际化综合素养、提升综合实践应用能力开展专业建设工作，特色发展及主要成果简述如下:</w:t>
      </w:r>
    </w:p>
    <w:p>
      <w:pPr>
        <w:spacing w:line="360" w:lineRule="auto"/>
        <w:ind w:firstLine="482" w:firstLineChars="200"/>
        <w:jc w:val="left"/>
        <w:rPr>
          <w:rFonts w:ascii="仿宋_GB2312" w:hAnsi="Times New Roman" w:eastAsia="仿宋_GB2312"/>
          <w:b/>
          <w:sz w:val="24"/>
        </w:rPr>
      </w:pPr>
      <w:r>
        <w:rPr>
          <w:rFonts w:hint="eastAsia" w:ascii="仿宋_GB2312" w:hAnsi="Times New Roman" w:eastAsia="仿宋_GB2312"/>
          <w:b/>
          <w:sz w:val="24"/>
        </w:rPr>
        <w:t>（1）构建国际化“双证融通”飞行技术专业人才培养体系</w:t>
      </w:r>
    </w:p>
    <w:p>
      <w:pPr>
        <w:spacing w:line="360" w:lineRule="auto"/>
        <w:ind w:firstLine="480" w:firstLineChars="200"/>
        <w:jc w:val="left"/>
        <w:rPr>
          <w:rFonts w:ascii="仿宋_GB2312" w:hAnsi="Times New Roman" w:eastAsia="仿宋_GB2312"/>
          <w:bCs/>
          <w:sz w:val="24"/>
        </w:rPr>
      </w:pPr>
      <w:r>
        <w:rPr>
          <w:rFonts w:hint="eastAsia" w:ascii="仿宋_GB2312" w:hAnsi="Times New Roman" w:eastAsia="仿宋_GB2312"/>
          <w:bCs/>
          <w:sz w:val="24"/>
        </w:rPr>
        <w:t>飞行技术专业人才培养定位于国际化民航岗位需求，实施 “2.5 +1.5”年制的“学历教育+执照培训”的“双证融通”人才培养模式，学生2.5年完成校内理论学习，1.5年赴境内外飞行训练基地开展执照培训，取得飞行员执照。专业未来发展将着眼国际航空专业认证标准，深化国际化“双证融通”人才培养体系改革，培养符合国际民航运输飞行员岗位标准的应用型人才。</w:t>
      </w:r>
    </w:p>
    <w:p>
      <w:pPr>
        <w:spacing w:line="360" w:lineRule="auto"/>
        <w:ind w:firstLine="482" w:firstLineChars="200"/>
        <w:jc w:val="left"/>
        <w:rPr>
          <w:rFonts w:ascii="仿宋_GB2312" w:hAnsi="Times New Roman" w:eastAsia="仿宋_GB2312"/>
          <w:b/>
          <w:sz w:val="24"/>
        </w:rPr>
      </w:pPr>
      <w:r>
        <w:rPr>
          <w:rFonts w:hint="eastAsia" w:ascii="仿宋_GB2312" w:hAnsi="Times New Roman" w:eastAsia="仿宋_GB2312"/>
          <w:b/>
          <w:sz w:val="24"/>
        </w:rPr>
        <w:t>（2）深化“虚实结合、能力为本”的实践教学教育改革</w:t>
      </w:r>
    </w:p>
    <w:p>
      <w:pPr>
        <w:spacing w:line="360" w:lineRule="auto"/>
        <w:ind w:firstLine="480" w:firstLineChars="200"/>
        <w:jc w:val="left"/>
        <w:rPr>
          <w:rFonts w:ascii="仿宋_GB2312" w:hAnsi="Times New Roman" w:eastAsia="仿宋_GB2312"/>
          <w:bCs/>
          <w:sz w:val="24"/>
        </w:rPr>
      </w:pPr>
      <w:r>
        <w:rPr>
          <w:rFonts w:hint="eastAsia" w:ascii="仿宋_GB2312" w:hAnsi="Times New Roman" w:eastAsia="仿宋_GB2312"/>
          <w:bCs/>
          <w:sz w:val="24"/>
        </w:rPr>
        <w:t>依托国家级虚拟仿真实验教学中心、国家级一流课程、上海市一流专业等雄厚人才培养资源，以“校企三协同式”实践教学机制为保障，以教育信息化理念和技术赋能，深化基于“虚实结合、能力为本”的飞行技术专业实践教学教育改革，实现学生基本技能、专业能力、职业能力分层递进，提升学生综合实践应用能力。</w:t>
      </w:r>
    </w:p>
    <w:p>
      <w:pPr>
        <w:spacing w:line="360" w:lineRule="auto"/>
        <w:ind w:firstLine="482" w:firstLineChars="200"/>
        <w:jc w:val="left"/>
        <w:rPr>
          <w:rFonts w:ascii="仿宋_GB2312" w:hAnsi="Times New Roman" w:eastAsia="仿宋_GB2312"/>
          <w:b/>
          <w:sz w:val="24"/>
        </w:rPr>
      </w:pPr>
      <w:r>
        <w:rPr>
          <w:rFonts w:hint="eastAsia" w:ascii="仿宋_GB2312" w:hAnsi="Times New Roman" w:eastAsia="仿宋_GB2312"/>
          <w:b/>
          <w:sz w:val="24"/>
        </w:rPr>
        <w:t>（3）推动航空报国育人目标下的课程思政教育教学改革</w:t>
      </w:r>
    </w:p>
    <w:p>
      <w:pPr>
        <w:spacing w:line="360" w:lineRule="auto"/>
        <w:ind w:firstLine="480" w:firstLineChars="200"/>
        <w:jc w:val="left"/>
        <w:rPr>
          <w:rFonts w:ascii="仿宋_GB2312" w:hAnsi="Times New Roman" w:eastAsia="仿宋_GB2312"/>
          <w:bCs/>
          <w:sz w:val="24"/>
        </w:rPr>
      </w:pPr>
      <w:r>
        <w:rPr>
          <w:rFonts w:hint="eastAsia" w:ascii="仿宋_GB2312" w:hAnsi="Times New Roman" w:eastAsia="仿宋_GB2312"/>
          <w:bCs/>
          <w:sz w:val="24"/>
        </w:rPr>
        <w:t>依托上海高校课程思政重点改革领航学院建设，秉持航空报国育人目标，设计实施“三阶层”课程思政“领航行动”计划，构建全课程覆盖“思政教育”的专业课程群，形成“课程思政”育人过程不断线，厚植家国情怀，弘扬航空报国精神。</w:t>
      </w:r>
    </w:p>
    <w:p>
      <w:pPr>
        <w:spacing w:line="360" w:lineRule="auto"/>
        <w:ind w:firstLine="482" w:firstLineChars="200"/>
        <w:jc w:val="left"/>
        <w:rPr>
          <w:rFonts w:ascii="仿宋_GB2312" w:hAnsi="Times New Roman" w:eastAsia="仿宋_GB2312"/>
          <w:b/>
          <w:sz w:val="24"/>
        </w:rPr>
      </w:pPr>
      <w:r>
        <w:rPr>
          <w:rFonts w:hint="eastAsia" w:ascii="仿宋_GB2312" w:hAnsi="Times New Roman" w:eastAsia="仿宋_GB2312"/>
          <w:b/>
          <w:sz w:val="24"/>
        </w:rPr>
        <w:t>（4）实现服务国家战略目标下的教学科研服务“三融合”</w:t>
      </w:r>
    </w:p>
    <w:p>
      <w:pPr>
        <w:spacing w:line="360" w:lineRule="auto"/>
        <w:ind w:firstLine="480" w:firstLineChars="200"/>
        <w:jc w:val="left"/>
        <w:rPr>
          <w:rFonts w:ascii="仿宋_GB2312" w:hAnsi="Times New Roman" w:eastAsia="仿宋_GB2312"/>
          <w:bCs/>
          <w:sz w:val="24"/>
        </w:rPr>
      </w:pPr>
      <w:r>
        <w:rPr>
          <w:rFonts w:hint="eastAsia" w:ascii="仿宋_GB2312" w:hAnsi="Times New Roman" w:eastAsia="仿宋_GB2312"/>
          <w:bCs/>
          <w:sz w:val="24"/>
        </w:rPr>
        <w:t>以民航特色为优势，以产学研战略联盟为平台，持续开展国家级、省部级一流课程建设的同时，面向国产商用飞机设计研发、试验试飞人才需求，以国产模拟器研制成果服务民航企业。</w:t>
      </w:r>
    </w:p>
    <w:p>
      <w:pPr>
        <w:pStyle w:val="2"/>
      </w:pPr>
      <w:bookmarkStart w:id="21" w:name="_Toc3653"/>
      <w:r>
        <w:rPr>
          <w:rFonts w:hint="eastAsia"/>
        </w:rPr>
        <w:t>七、问题与对策</w:t>
      </w:r>
      <w:bookmarkEnd w:id="21"/>
    </w:p>
    <w:p>
      <w:pPr>
        <w:spacing w:line="360" w:lineRule="auto"/>
        <w:rPr>
          <w:rFonts w:ascii="仿宋_GB2312" w:eastAsia="仿宋_GB2312"/>
          <w:b/>
          <w:bCs/>
          <w:sz w:val="24"/>
          <w:szCs w:val="24"/>
        </w:rPr>
      </w:pPr>
      <w:r>
        <w:rPr>
          <w:rFonts w:hint="eastAsia" w:ascii="仿宋_GB2312" w:eastAsia="仿宋_GB2312"/>
          <w:b/>
          <w:bCs/>
          <w:sz w:val="24"/>
          <w:szCs w:val="24"/>
        </w:rPr>
        <w:t>7.1 存在的不足与问题</w:t>
      </w:r>
    </w:p>
    <w:p>
      <w:pPr>
        <w:spacing w:line="360" w:lineRule="auto"/>
        <w:rPr>
          <w:rFonts w:ascii="仿宋_GB2312" w:eastAsia="仿宋_GB2312"/>
          <w:b/>
          <w:bCs/>
          <w:sz w:val="24"/>
          <w:szCs w:val="24"/>
        </w:rPr>
      </w:pPr>
      <w:r>
        <w:rPr>
          <w:rFonts w:hint="eastAsia" w:ascii="仿宋_GB2312" w:eastAsia="仿宋_GB2312"/>
          <w:b/>
          <w:bCs/>
          <w:sz w:val="24"/>
          <w:szCs w:val="24"/>
        </w:rPr>
        <w:t>7.1.1 课程体系</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本专业课程体系较完善，但在实践教学监管和毕业设计（论文）质量方面存在不足，待改进。</w:t>
      </w:r>
    </w:p>
    <w:p>
      <w:pPr>
        <w:spacing w:line="360" w:lineRule="auto"/>
        <w:ind w:firstLine="482" w:firstLineChars="200"/>
        <w:rPr>
          <w:rFonts w:ascii="仿宋_GB2312" w:eastAsia="仿宋_GB2312"/>
          <w:b/>
          <w:bCs/>
          <w:sz w:val="24"/>
          <w:szCs w:val="24"/>
        </w:rPr>
      </w:pPr>
      <w:r>
        <w:rPr>
          <w:rFonts w:hint="eastAsia" w:ascii="仿宋_GB2312" w:eastAsia="仿宋_GB2312"/>
          <w:b/>
          <w:bCs/>
          <w:sz w:val="24"/>
          <w:szCs w:val="24"/>
        </w:rPr>
        <w:t>（1）学校与国内外飞行实习单位缺乏联系</w:t>
      </w:r>
    </w:p>
    <w:p>
      <w:pPr>
        <w:spacing w:line="360" w:lineRule="auto"/>
        <w:rPr>
          <w:rFonts w:ascii="仿宋_GB2312" w:eastAsia="仿宋_GB2312"/>
          <w:sz w:val="24"/>
          <w:szCs w:val="24"/>
        </w:rPr>
      </w:pPr>
      <w:r>
        <w:rPr>
          <w:rFonts w:hint="eastAsia" w:ascii="仿宋_GB2312" w:eastAsia="仿宋_GB2312"/>
          <w:sz w:val="24"/>
          <w:szCs w:val="24"/>
        </w:rPr>
        <w:t xml:space="preserve">    由于我校飞行技术专业采用“订单式”培养模式，学校主要负责学生在校期间理论学习任务，飞行实践活动由合作的航空企业安排与联系，包括联系航校、签订送训协议、学生送训、实习进度汇总、加时与停飞等。这样学校与国内外飞行实习单位之间不存在业务上的往来。学院曾一度与航空企业相关部门协调，希望航空公司能定期向学校反馈学生情况，但除了停飞，其他信息无法获得。学院只能从学生那里了解实习情况，但因学生人数较多、进度不一致，无法照顾到每一位学生。</w:t>
      </w:r>
    </w:p>
    <w:p>
      <w:pPr>
        <w:spacing w:line="360" w:lineRule="auto"/>
        <w:ind w:firstLine="482" w:firstLineChars="200"/>
        <w:rPr>
          <w:rFonts w:ascii="仿宋_GB2312" w:eastAsia="仿宋_GB2312"/>
          <w:b/>
          <w:bCs/>
          <w:sz w:val="24"/>
          <w:szCs w:val="24"/>
        </w:rPr>
      </w:pPr>
      <w:r>
        <w:rPr>
          <w:rFonts w:hint="eastAsia" w:ascii="仿宋_GB2312" w:eastAsia="仿宋_GB2312"/>
          <w:b/>
          <w:bCs/>
          <w:sz w:val="24"/>
          <w:szCs w:val="24"/>
        </w:rPr>
        <w:t>（2）毕业设计（论文）质量不高</w:t>
      </w:r>
    </w:p>
    <w:p>
      <w:pPr>
        <w:spacing w:line="360" w:lineRule="auto"/>
        <w:ind w:firstLine="570"/>
        <w:rPr>
          <w:rFonts w:ascii="仿宋_GB2312" w:eastAsia="仿宋_GB2312"/>
          <w:sz w:val="24"/>
          <w:szCs w:val="24"/>
        </w:rPr>
      </w:pPr>
      <w:r>
        <w:rPr>
          <w:rFonts w:hint="eastAsia" w:ascii="仿宋_GB2312" w:eastAsia="仿宋_GB2312"/>
          <w:sz w:val="24"/>
          <w:szCs w:val="24"/>
        </w:rPr>
        <w:t>在毕业设计（论文）方面，飞行技术专业属交通运输类专业，授予工学学位。与其他交通运输类专业相比，本专业更强调技术。按照学校对工学专业的毕业设计（论文）要求，本专业学生毕业设计（论文）质量较我校其他工学专业略逊一筹。这也是这么多年来本专业学生毕业论文评分很少达到优良的主要原因。</w:t>
      </w:r>
    </w:p>
    <w:p>
      <w:pPr>
        <w:spacing w:line="360" w:lineRule="auto"/>
        <w:ind w:firstLine="570"/>
        <w:rPr>
          <w:rFonts w:ascii="仿宋_GB2312" w:eastAsia="仿宋_GB2312"/>
          <w:sz w:val="24"/>
          <w:szCs w:val="24"/>
        </w:rPr>
      </w:pPr>
      <w:r>
        <w:rPr>
          <w:rFonts w:hint="eastAsia" w:ascii="仿宋_GB2312" w:eastAsia="仿宋_GB2312"/>
          <w:sz w:val="24"/>
          <w:szCs w:val="24"/>
        </w:rPr>
        <w:t>另一方面，本专业学生论文工作主要在航校实习期间完成，一旦航校毕业，很快会进入航空公司。这样学生对毕业论文的写作态度及完成质量也大大折扣。近几年本专业教师加大监管力度，对不合格论文进行缓答辩处理，但总体上论文质量仍维持在中和及格水平。</w:t>
      </w:r>
    </w:p>
    <w:p>
      <w:pPr>
        <w:spacing w:line="360" w:lineRule="auto"/>
        <w:rPr>
          <w:rFonts w:ascii="仿宋_GB2312" w:eastAsia="仿宋_GB2312"/>
          <w:b/>
          <w:bCs/>
          <w:sz w:val="24"/>
          <w:szCs w:val="24"/>
        </w:rPr>
      </w:pPr>
      <w:r>
        <w:rPr>
          <w:rFonts w:hint="eastAsia" w:ascii="仿宋_GB2312" w:eastAsia="仿宋_GB2312"/>
          <w:b/>
          <w:bCs/>
          <w:sz w:val="24"/>
          <w:szCs w:val="24"/>
        </w:rPr>
        <w:t>7.1.2 支撑条件</w:t>
      </w:r>
    </w:p>
    <w:p>
      <w:pPr>
        <w:spacing w:line="360" w:lineRule="auto"/>
        <w:ind w:firstLine="570"/>
        <w:rPr>
          <w:rFonts w:ascii="仿宋_GB2312" w:eastAsia="仿宋_GB2312"/>
          <w:sz w:val="24"/>
          <w:szCs w:val="24"/>
        </w:rPr>
      </w:pPr>
      <w:r>
        <w:rPr>
          <w:rFonts w:hint="eastAsia" w:ascii="仿宋_GB2312" w:eastAsia="仿宋_GB2312"/>
          <w:sz w:val="24"/>
          <w:szCs w:val="24"/>
        </w:rPr>
        <w:t>本专业专职教师积极探索教育教学改革，已形成一批有影响力的教改成果。同时学院十分注重校企合作办学，依托企业资源提升办学质量。例如，在2011-2012年期间，本专业陆续出版了卓越工程师教育培养计划配套教材飞行技术系列共20本，大部分教材使用至今，但其中很多内容已过时，案例也较陈旧。近几年，教学资源形式与内涵快速发展，教材不再停留在理论知识、纸质材料的层面，思政育人、产教融合、数字资源等成为当今的主流。因而，更新以往陈旧的教学资源将是接下来专业建设的内容之一。</w:t>
      </w:r>
    </w:p>
    <w:p>
      <w:pPr>
        <w:spacing w:line="360" w:lineRule="auto"/>
        <w:rPr>
          <w:rFonts w:ascii="仿宋_GB2312" w:eastAsia="仿宋_GB2312"/>
          <w:b/>
          <w:bCs/>
          <w:sz w:val="24"/>
          <w:szCs w:val="24"/>
        </w:rPr>
      </w:pPr>
      <w:r>
        <w:rPr>
          <w:rFonts w:hint="eastAsia" w:ascii="仿宋_GB2312" w:eastAsia="仿宋_GB2312"/>
          <w:b/>
          <w:bCs/>
          <w:sz w:val="24"/>
          <w:szCs w:val="24"/>
        </w:rPr>
        <w:t>7.2 改进思路与措施</w:t>
      </w:r>
    </w:p>
    <w:p>
      <w:pPr>
        <w:spacing w:line="360" w:lineRule="auto"/>
        <w:rPr>
          <w:rFonts w:ascii="仿宋_GB2312" w:eastAsia="仿宋_GB2312"/>
          <w:b/>
          <w:bCs/>
          <w:sz w:val="24"/>
          <w:szCs w:val="24"/>
        </w:rPr>
      </w:pPr>
      <w:r>
        <w:rPr>
          <w:rFonts w:hint="eastAsia" w:ascii="仿宋_GB2312" w:eastAsia="仿宋_GB2312"/>
          <w:b/>
          <w:bCs/>
          <w:sz w:val="24"/>
          <w:szCs w:val="24"/>
        </w:rPr>
        <w:t>7.2.1 加强课程体系各环节的质量监控</w:t>
      </w:r>
    </w:p>
    <w:p>
      <w:pPr>
        <w:spacing w:line="360" w:lineRule="auto"/>
        <w:ind w:firstLine="570"/>
        <w:rPr>
          <w:rFonts w:ascii="仿宋_GB2312" w:eastAsia="仿宋_GB2312"/>
          <w:sz w:val="24"/>
          <w:szCs w:val="24"/>
        </w:rPr>
      </w:pPr>
      <w:r>
        <w:rPr>
          <w:rFonts w:hint="eastAsia" w:ascii="仿宋_GB2312" w:eastAsia="仿宋_GB2312"/>
          <w:sz w:val="24"/>
          <w:szCs w:val="24"/>
        </w:rPr>
        <w:t>依托“2013年上海高校本科重点教学改革项目”《飞行技术专业“卓越计划”教学质量评价体系研究》，本专业已建立一套以工程教育认证为指导，基于OBE教育教学理念的教学质量评价体系，包括培养目标达成度评价、毕业生能力达成度评价、课程体系达成度评价、教师教学自我评价体系等。以该评价体系为参照标准，通过“对照标准-发现问题-提出整改意见-落实整改方案”，加强课程体系各环节的质量监控。</w:t>
      </w:r>
    </w:p>
    <w:p>
      <w:pPr>
        <w:spacing w:line="360" w:lineRule="auto"/>
        <w:ind w:firstLine="570"/>
        <w:rPr>
          <w:rFonts w:ascii="仿宋_GB2312" w:eastAsia="仿宋_GB2312"/>
          <w:sz w:val="24"/>
          <w:szCs w:val="24"/>
        </w:rPr>
      </w:pPr>
      <w:r>
        <w:rPr>
          <w:rFonts w:hint="eastAsia" w:ascii="仿宋_GB2312" w:eastAsia="仿宋_GB2312"/>
          <w:sz w:val="24"/>
          <w:szCs w:val="24"/>
        </w:rPr>
        <w:t>例如，上文中提到的学校与航校之间缺乏联系的问题，可以从航空企业与学生两个方面进行整改与落实。相对于企业，学生更容易掌控，可将这一环节设定为飞行实习考核的内容之一。关于毕业设计（论文）难度与要求，可以根据本专业特点，制定符合本专业特色的标准，得到学院毕业设计（论文）领导小组或教授委员会通过，以教学大纲的形式规定下来。</w:t>
      </w:r>
    </w:p>
    <w:p>
      <w:pPr>
        <w:spacing w:line="360" w:lineRule="auto"/>
        <w:rPr>
          <w:rFonts w:ascii="仿宋_GB2312" w:eastAsia="仿宋_GB2312"/>
          <w:b/>
          <w:bCs/>
          <w:sz w:val="24"/>
          <w:szCs w:val="24"/>
        </w:rPr>
      </w:pPr>
      <w:r>
        <w:rPr>
          <w:rFonts w:hint="eastAsia" w:ascii="仿宋_GB2312" w:eastAsia="仿宋_GB2312"/>
          <w:b/>
          <w:bCs/>
          <w:sz w:val="24"/>
          <w:szCs w:val="24"/>
        </w:rPr>
        <w:t>7.2.2 依托现代产业学院建设，深化产教融合，逐步完成教学支撑条件的更新换代</w:t>
      </w:r>
    </w:p>
    <w:p>
      <w:pPr>
        <w:spacing w:line="360" w:lineRule="auto"/>
        <w:ind w:firstLine="480" w:firstLineChars="200"/>
        <w:rPr>
          <w:rFonts w:ascii="仿宋_GB2312" w:eastAsia="仿宋_GB2312"/>
          <w:sz w:val="24"/>
          <w:szCs w:val="24"/>
        </w:rPr>
      </w:pPr>
      <w:r>
        <w:rPr>
          <w:rFonts w:hint="eastAsia" w:ascii="仿宋_GB2312" w:eastAsia="仿宋_GB2312"/>
          <w:sz w:val="24"/>
          <w:szCs w:val="24"/>
        </w:rPr>
        <w:t>本专业落实《国务院办公厅关于深化产教融合的若干意见》（国办发〔2017〕95号），结合《现代产业学院建设指南（试行）》（教高厅函〔2020〕16号）和《上海工程技术大学合作教育新方案实施意见》（沪工程教〔2022〕56 号）文件精神，深化校企合作，推动现代产业学院建设，探索新时代产教融合实践，逐步完成教学支撑条件的更新换代。目前学院已被学校认定为校级现代产业学院，《飞机飞行力学》、《飞行学员英语口语实用教程》、《航空气象理论与实践》、《飞行员陆空通话教程》、《航空概论》、《PBN飞行程序设计与实践》等六本教材已经纳入首批校级“产教融合教材”建设项目。本专业实验室及设备已投入使用多年，部分设备出现各种问题，影响到正常教学活动的开展。在经费允许的条件下，将对现有设备进行维护和更新，保障教学活动的顺利开展。此外，以学科发展为导向，以功能整合为基础，以优化结构、合理配置资源和提高效益为目标，对现有实验室资源进行整合。寻找实验室优势资源，明确其潜在功能，以校企合作为基础，寻求发展新方向，不断提升实验室内涵。</w:t>
      </w:r>
    </w:p>
    <w:p>
      <w:pPr>
        <w:spacing w:line="400" w:lineRule="exact"/>
        <w:rPr>
          <w:sz w:val="24"/>
          <w:szCs w:val="24"/>
        </w:rPr>
      </w:pPr>
    </w:p>
    <w:p>
      <w:pPr>
        <w:spacing w:line="400" w:lineRule="exact"/>
      </w:pPr>
    </w:p>
    <w:p>
      <w:pPr>
        <w:spacing w:line="400" w:lineRule="exact"/>
        <w:outlineLvl w:val="0"/>
        <w:rPr>
          <w:b/>
          <w:bCs/>
        </w:rPr>
      </w:pPr>
      <w:bookmarkStart w:id="22" w:name="_Toc4118"/>
      <w:r>
        <w:rPr>
          <w:rFonts w:hint="eastAsia"/>
          <w:b/>
          <w:bCs/>
        </w:rPr>
        <w:t>备注：</w:t>
      </w:r>
      <w:bookmarkEnd w:id="22"/>
    </w:p>
    <w:p>
      <w:pPr>
        <w:spacing w:line="400" w:lineRule="exact"/>
        <w:rPr>
          <w:sz w:val="24"/>
          <w:szCs w:val="28"/>
        </w:rPr>
      </w:pPr>
      <w:r>
        <w:rPr>
          <w:rFonts w:hint="eastAsia"/>
          <w:sz w:val="24"/>
          <w:szCs w:val="28"/>
        </w:rPr>
        <w:t>对统计时间的解释：</w:t>
      </w:r>
    </w:p>
    <w:p>
      <w:pPr>
        <w:spacing w:line="400" w:lineRule="exact"/>
        <w:rPr>
          <w:sz w:val="24"/>
          <w:szCs w:val="28"/>
        </w:rPr>
      </w:pPr>
      <w:r>
        <w:rPr>
          <w:rFonts w:hint="eastAsia"/>
          <w:sz w:val="24"/>
          <w:szCs w:val="28"/>
        </w:rPr>
        <w:t>自然年：指自然年度，即202</w:t>
      </w:r>
      <w:r>
        <w:rPr>
          <w:sz w:val="24"/>
          <w:szCs w:val="28"/>
        </w:rPr>
        <w:t>1</w:t>
      </w:r>
      <w:r>
        <w:rPr>
          <w:rFonts w:hint="eastAsia"/>
          <w:sz w:val="24"/>
          <w:szCs w:val="28"/>
        </w:rPr>
        <w:t>年1月1日至202</w:t>
      </w:r>
      <w:r>
        <w:rPr>
          <w:sz w:val="24"/>
          <w:szCs w:val="28"/>
        </w:rPr>
        <w:t>2</w:t>
      </w:r>
      <w:r>
        <w:rPr>
          <w:rFonts w:hint="eastAsia"/>
          <w:sz w:val="24"/>
          <w:szCs w:val="28"/>
        </w:rPr>
        <w:t>年12月31日。</w:t>
      </w:r>
    </w:p>
    <w:p>
      <w:pPr>
        <w:spacing w:line="400" w:lineRule="exact"/>
        <w:rPr>
          <w:sz w:val="24"/>
          <w:szCs w:val="28"/>
        </w:rPr>
      </w:pPr>
      <w:r>
        <w:rPr>
          <w:rFonts w:hint="eastAsia"/>
          <w:sz w:val="24"/>
          <w:szCs w:val="28"/>
        </w:rPr>
        <w:t>学  年：指教育年度，即202</w:t>
      </w:r>
      <w:r>
        <w:rPr>
          <w:sz w:val="24"/>
          <w:szCs w:val="28"/>
        </w:rPr>
        <w:t>1</w:t>
      </w:r>
      <w:r>
        <w:rPr>
          <w:rFonts w:hint="eastAsia"/>
          <w:sz w:val="24"/>
          <w:szCs w:val="28"/>
        </w:rPr>
        <w:t>年9月1日至202</w:t>
      </w:r>
      <w:r>
        <w:rPr>
          <w:sz w:val="24"/>
          <w:szCs w:val="28"/>
        </w:rPr>
        <w:t>2</w:t>
      </w:r>
      <w:r>
        <w:rPr>
          <w:rFonts w:hint="eastAsia"/>
          <w:sz w:val="24"/>
          <w:szCs w:val="28"/>
        </w:rPr>
        <w:t>年8月31日。</w:t>
      </w:r>
    </w:p>
    <w:p>
      <w:pPr>
        <w:spacing w:line="400" w:lineRule="exact"/>
        <w:rPr>
          <w:sz w:val="24"/>
          <w:szCs w:val="28"/>
        </w:rPr>
      </w:pPr>
      <w:r>
        <w:rPr>
          <w:rFonts w:hint="eastAsia"/>
          <w:sz w:val="24"/>
          <w:szCs w:val="28"/>
        </w:rPr>
        <w:t>时  点：指特定时刻产生的指标数据的统计截止时间，及202</w:t>
      </w:r>
      <w:r>
        <w:rPr>
          <w:sz w:val="24"/>
          <w:szCs w:val="28"/>
        </w:rPr>
        <w:t>2</w:t>
      </w:r>
      <w:r>
        <w:rPr>
          <w:rFonts w:hint="eastAsia"/>
          <w:sz w:val="24"/>
          <w:szCs w:val="28"/>
        </w:rPr>
        <w:t>年9月30日。</w:t>
      </w:r>
    </w:p>
    <w:p>
      <w:pPr>
        <w:spacing w:line="400" w:lineRule="exact"/>
      </w:pPr>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82C1A3"/>
    <w:multiLevelType w:val="singleLevel"/>
    <w:tmpl w:val="3A82C1A3"/>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c4Yzk1OTVmMDc4MmJmODBiMzIwMzM1ODcyNjMzODUifQ=="/>
    <w:docVar w:name="KSO_WPS_MARK_KEY" w:val="604f5e68-9a3d-4cd1-b72d-e45295bc293c"/>
  </w:docVars>
  <w:rsids>
    <w:rsidRoot w:val="00FF264E"/>
    <w:rsid w:val="00002190"/>
    <w:rsid w:val="00004EA9"/>
    <w:rsid w:val="0000733B"/>
    <w:rsid w:val="00016E0F"/>
    <w:rsid w:val="000230CA"/>
    <w:rsid w:val="00030726"/>
    <w:rsid w:val="00045013"/>
    <w:rsid w:val="00047BCD"/>
    <w:rsid w:val="00052DAB"/>
    <w:rsid w:val="00057505"/>
    <w:rsid w:val="00062AA8"/>
    <w:rsid w:val="000649BF"/>
    <w:rsid w:val="00066A9A"/>
    <w:rsid w:val="000943FB"/>
    <w:rsid w:val="00097EEB"/>
    <w:rsid w:val="000A1763"/>
    <w:rsid w:val="000A71BF"/>
    <w:rsid w:val="000E00C7"/>
    <w:rsid w:val="000E0897"/>
    <w:rsid w:val="000E209D"/>
    <w:rsid w:val="0010024A"/>
    <w:rsid w:val="00117CC8"/>
    <w:rsid w:val="00141481"/>
    <w:rsid w:val="00161283"/>
    <w:rsid w:val="00173B9B"/>
    <w:rsid w:val="00176340"/>
    <w:rsid w:val="00181880"/>
    <w:rsid w:val="00197380"/>
    <w:rsid w:val="001A65C1"/>
    <w:rsid w:val="001B02DF"/>
    <w:rsid w:val="001B47C0"/>
    <w:rsid w:val="001C56A3"/>
    <w:rsid w:val="001C76D9"/>
    <w:rsid w:val="001D77A9"/>
    <w:rsid w:val="001E21B1"/>
    <w:rsid w:val="001E3205"/>
    <w:rsid w:val="001E35B5"/>
    <w:rsid w:val="001E3AD9"/>
    <w:rsid w:val="001E6DB7"/>
    <w:rsid w:val="001F08EC"/>
    <w:rsid w:val="001F7E84"/>
    <w:rsid w:val="0020152E"/>
    <w:rsid w:val="00212FFE"/>
    <w:rsid w:val="00214A59"/>
    <w:rsid w:val="002217AC"/>
    <w:rsid w:val="00223AA8"/>
    <w:rsid w:val="00223AAE"/>
    <w:rsid w:val="00231EC3"/>
    <w:rsid w:val="0024218A"/>
    <w:rsid w:val="00254A53"/>
    <w:rsid w:val="0025522B"/>
    <w:rsid w:val="00260376"/>
    <w:rsid w:val="002A5934"/>
    <w:rsid w:val="002A69D9"/>
    <w:rsid w:val="002C3248"/>
    <w:rsid w:val="002E3EF6"/>
    <w:rsid w:val="002F2578"/>
    <w:rsid w:val="002F4739"/>
    <w:rsid w:val="002F5536"/>
    <w:rsid w:val="003022B7"/>
    <w:rsid w:val="0030283B"/>
    <w:rsid w:val="00305653"/>
    <w:rsid w:val="00311441"/>
    <w:rsid w:val="00311F47"/>
    <w:rsid w:val="003163F2"/>
    <w:rsid w:val="00327696"/>
    <w:rsid w:val="0034167C"/>
    <w:rsid w:val="003431E8"/>
    <w:rsid w:val="00355B49"/>
    <w:rsid w:val="00365EB2"/>
    <w:rsid w:val="003A0352"/>
    <w:rsid w:val="003A4B84"/>
    <w:rsid w:val="003A6898"/>
    <w:rsid w:val="003B22BB"/>
    <w:rsid w:val="003D0150"/>
    <w:rsid w:val="003D5F0D"/>
    <w:rsid w:val="003E1445"/>
    <w:rsid w:val="003E4373"/>
    <w:rsid w:val="003E5958"/>
    <w:rsid w:val="003E6AF2"/>
    <w:rsid w:val="00421A03"/>
    <w:rsid w:val="00423881"/>
    <w:rsid w:val="0042709E"/>
    <w:rsid w:val="00441643"/>
    <w:rsid w:val="0044462E"/>
    <w:rsid w:val="00444859"/>
    <w:rsid w:val="00444EDD"/>
    <w:rsid w:val="004470EF"/>
    <w:rsid w:val="00452FF1"/>
    <w:rsid w:val="0047049A"/>
    <w:rsid w:val="00474E17"/>
    <w:rsid w:val="00476FB8"/>
    <w:rsid w:val="004819D5"/>
    <w:rsid w:val="00490294"/>
    <w:rsid w:val="00497ADF"/>
    <w:rsid w:val="004A0DE1"/>
    <w:rsid w:val="004A4B6B"/>
    <w:rsid w:val="004B7E66"/>
    <w:rsid w:val="004C5D0D"/>
    <w:rsid w:val="005061B4"/>
    <w:rsid w:val="00512AC3"/>
    <w:rsid w:val="0051672E"/>
    <w:rsid w:val="005202A6"/>
    <w:rsid w:val="0053175F"/>
    <w:rsid w:val="0053335E"/>
    <w:rsid w:val="00553BAD"/>
    <w:rsid w:val="005565D1"/>
    <w:rsid w:val="005627D9"/>
    <w:rsid w:val="00575048"/>
    <w:rsid w:val="00575A54"/>
    <w:rsid w:val="00593B98"/>
    <w:rsid w:val="00597E0D"/>
    <w:rsid w:val="005A09A9"/>
    <w:rsid w:val="005A2DCD"/>
    <w:rsid w:val="005A64FF"/>
    <w:rsid w:val="005A6E19"/>
    <w:rsid w:val="005B5B5C"/>
    <w:rsid w:val="005C191D"/>
    <w:rsid w:val="005C4F56"/>
    <w:rsid w:val="005D141F"/>
    <w:rsid w:val="005E09F8"/>
    <w:rsid w:val="005E7CDB"/>
    <w:rsid w:val="005F3AE9"/>
    <w:rsid w:val="00602699"/>
    <w:rsid w:val="00606B12"/>
    <w:rsid w:val="006118EA"/>
    <w:rsid w:val="00613D05"/>
    <w:rsid w:val="006147FF"/>
    <w:rsid w:val="006553F2"/>
    <w:rsid w:val="00655F01"/>
    <w:rsid w:val="00657573"/>
    <w:rsid w:val="00685A32"/>
    <w:rsid w:val="00692607"/>
    <w:rsid w:val="00695254"/>
    <w:rsid w:val="006A15D4"/>
    <w:rsid w:val="006D03D0"/>
    <w:rsid w:val="006E40C6"/>
    <w:rsid w:val="006E7086"/>
    <w:rsid w:val="006F1702"/>
    <w:rsid w:val="006F5124"/>
    <w:rsid w:val="00703839"/>
    <w:rsid w:val="00711418"/>
    <w:rsid w:val="007117B9"/>
    <w:rsid w:val="007151DF"/>
    <w:rsid w:val="00727223"/>
    <w:rsid w:val="00742927"/>
    <w:rsid w:val="0077695A"/>
    <w:rsid w:val="00776CC9"/>
    <w:rsid w:val="007B4314"/>
    <w:rsid w:val="007B7697"/>
    <w:rsid w:val="007C189C"/>
    <w:rsid w:val="007E459D"/>
    <w:rsid w:val="007F1053"/>
    <w:rsid w:val="00802024"/>
    <w:rsid w:val="008055E5"/>
    <w:rsid w:val="008063BE"/>
    <w:rsid w:val="00824793"/>
    <w:rsid w:val="008265D6"/>
    <w:rsid w:val="008407F1"/>
    <w:rsid w:val="00842D55"/>
    <w:rsid w:val="00852AE5"/>
    <w:rsid w:val="00863C00"/>
    <w:rsid w:val="0087114A"/>
    <w:rsid w:val="00880A34"/>
    <w:rsid w:val="00881641"/>
    <w:rsid w:val="008A1732"/>
    <w:rsid w:val="008A6570"/>
    <w:rsid w:val="008B3608"/>
    <w:rsid w:val="008B3BA3"/>
    <w:rsid w:val="008D288E"/>
    <w:rsid w:val="008E2B6C"/>
    <w:rsid w:val="008E7BFA"/>
    <w:rsid w:val="008F4793"/>
    <w:rsid w:val="0090003A"/>
    <w:rsid w:val="009020C7"/>
    <w:rsid w:val="009239E2"/>
    <w:rsid w:val="009516CC"/>
    <w:rsid w:val="0095384C"/>
    <w:rsid w:val="0096211D"/>
    <w:rsid w:val="00963271"/>
    <w:rsid w:val="009833BF"/>
    <w:rsid w:val="009852A8"/>
    <w:rsid w:val="009957D6"/>
    <w:rsid w:val="009A20D6"/>
    <w:rsid w:val="009B2487"/>
    <w:rsid w:val="009D46FD"/>
    <w:rsid w:val="009D74B5"/>
    <w:rsid w:val="009E137B"/>
    <w:rsid w:val="009E7270"/>
    <w:rsid w:val="009E781E"/>
    <w:rsid w:val="009F3322"/>
    <w:rsid w:val="00A02D64"/>
    <w:rsid w:val="00A13D75"/>
    <w:rsid w:val="00A14923"/>
    <w:rsid w:val="00A16156"/>
    <w:rsid w:val="00A17907"/>
    <w:rsid w:val="00A26DD0"/>
    <w:rsid w:val="00A31288"/>
    <w:rsid w:val="00A33D47"/>
    <w:rsid w:val="00A64B28"/>
    <w:rsid w:val="00A65F00"/>
    <w:rsid w:val="00A66527"/>
    <w:rsid w:val="00A73567"/>
    <w:rsid w:val="00A740C7"/>
    <w:rsid w:val="00A760C9"/>
    <w:rsid w:val="00A765DD"/>
    <w:rsid w:val="00A83B24"/>
    <w:rsid w:val="00A906ED"/>
    <w:rsid w:val="00AA4C36"/>
    <w:rsid w:val="00AB589E"/>
    <w:rsid w:val="00AB700A"/>
    <w:rsid w:val="00AC4F77"/>
    <w:rsid w:val="00AC5011"/>
    <w:rsid w:val="00AC5788"/>
    <w:rsid w:val="00AD74A8"/>
    <w:rsid w:val="00AE465A"/>
    <w:rsid w:val="00AE679C"/>
    <w:rsid w:val="00AF5595"/>
    <w:rsid w:val="00B02DCE"/>
    <w:rsid w:val="00B16F0B"/>
    <w:rsid w:val="00B31A1B"/>
    <w:rsid w:val="00B42041"/>
    <w:rsid w:val="00B53050"/>
    <w:rsid w:val="00B62FD4"/>
    <w:rsid w:val="00B71EFE"/>
    <w:rsid w:val="00B9088E"/>
    <w:rsid w:val="00B924A7"/>
    <w:rsid w:val="00B92A96"/>
    <w:rsid w:val="00BA7966"/>
    <w:rsid w:val="00BB071F"/>
    <w:rsid w:val="00BB5496"/>
    <w:rsid w:val="00BC5907"/>
    <w:rsid w:val="00BD766D"/>
    <w:rsid w:val="00BF07C3"/>
    <w:rsid w:val="00BF230A"/>
    <w:rsid w:val="00C23301"/>
    <w:rsid w:val="00C271C8"/>
    <w:rsid w:val="00C371CA"/>
    <w:rsid w:val="00C42F79"/>
    <w:rsid w:val="00C5213F"/>
    <w:rsid w:val="00C61EF2"/>
    <w:rsid w:val="00C64804"/>
    <w:rsid w:val="00C86151"/>
    <w:rsid w:val="00CA2313"/>
    <w:rsid w:val="00CB2380"/>
    <w:rsid w:val="00CB60C3"/>
    <w:rsid w:val="00CD0DD4"/>
    <w:rsid w:val="00CD2060"/>
    <w:rsid w:val="00CD279B"/>
    <w:rsid w:val="00CE79FE"/>
    <w:rsid w:val="00CF1718"/>
    <w:rsid w:val="00CF4DE9"/>
    <w:rsid w:val="00CF58A7"/>
    <w:rsid w:val="00D008EF"/>
    <w:rsid w:val="00D076CB"/>
    <w:rsid w:val="00D333D3"/>
    <w:rsid w:val="00D371DB"/>
    <w:rsid w:val="00D45821"/>
    <w:rsid w:val="00D461C9"/>
    <w:rsid w:val="00D47060"/>
    <w:rsid w:val="00D579B5"/>
    <w:rsid w:val="00DD21BD"/>
    <w:rsid w:val="00DE2F95"/>
    <w:rsid w:val="00DF3FC6"/>
    <w:rsid w:val="00E053D2"/>
    <w:rsid w:val="00E066A5"/>
    <w:rsid w:val="00E076AF"/>
    <w:rsid w:val="00E13E2F"/>
    <w:rsid w:val="00E207D8"/>
    <w:rsid w:val="00E24255"/>
    <w:rsid w:val="00E252DC"/>
    <w:rsid w:val="00E3422D"/>
    <w:rsid w:val="00E45719"/>
    <w:rsid w:val="00E542D2"/>
    <w:rsid w:val="00E60CCB"/>
    <w:rsid w:val="00E6637B"/>
    <w:rsid w:val="00E70478"/>
    <w:rsid w:val="00E70F81"/>
    <w:rsid w:val="00E820E7"/>
    <w:rsid w:val="00E84A1C"/>
    <w:rsid w:val="00E92AA5"/>
    <w:rsid w:val="00E96449"/>
    <w:rsid w:val="00EA597B"/>
    <w:rsid w:val="00EB64CC"/>
    <w:rsid w:val="00EC0F67"/>
    <w:rsid w:val="00EC33E4"/>
    <w:rsid w:val="00ED580B"/>
    <w:rsid w:val="00EE000D"/>
    <w:rsid w:val="00EF2976"/>
    <w:rsid w:val="00EF5E4E"/>
    <w:rsid w:val="00F10DEF"/>
    <w:rsid w:val="00F3214A"/>
    <w:rsid w:val="00F53FBA"/>
    <w:rsid w:val="00F54014"/>
    <w:rsid w:val="00F67D53"/>
    <w:rsid w:val="00F70728"/>
    <w:rsid w:val="00F712CB"/>
    <w:rsid w:val="00F80C3A"/>
    <w:rsid w:val="00F967B7"/>
    <w:rsid w:val="00F97B65"/>
    <w:rsid w:val="00FA0EFB"/>
    <w:rsid w:val="00FB032C"/>
    <w:rsid w:val="00FB2DD8"/>
    <w:rsid w:val="00FC5988"/>
    <w:rsid w:val="00FC7A90"/>
    <w:rsid w:val="00FD4DFA"/>
    <w:rsid w:val="00FE391A"/>
    <w:rsid w:val="00FF264E"/>
    <w:rsid w:val="17FCD122"/>
    <w:rsid w:val="24A92F9A"/>
    <w:rsid w:val="2DC27ED3"/>
    <w:rsid w:val="3E57316E"/>
    <w:rsid w:val="6D8C3F5B"/>
    <w:rsid w:val="787D4AD0"/>
    <w:rsid w:val="789E6A65"/>
    <w:rsid w:val="7E6A0C4F"/>
    <w:rsid w:val="7FA64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widowControl/>
      <w:jc w:val="left"/>
      <w:outlineLvl w:val="0"/>
    </w:pPr>
    <w:rPr>
      <w:rFonts w:ascii="宋体" w:hAnsi="宋体" w:eastAsia="黑体" w:cs="宋体"/>
      <w:b/>
      <w:bCs/>
      <w:kern w:val="36"/>
      <w:sz w:val="30"/>
      <w:szCs w:val="48"/>
    </w:rPr>
  </w:style>
  <w:style w:type="paragraph" w:styleId="3">
    <w:name w:val="heading 2"/>
    <w:basedOn w:val="4"/>
    <w:next w:val="1"/>
    <w:unhideWhenUsed/>
    <w:qFormat/>
    <w:uiPriority w:val="9"/>
    <w:pPr>
      <w:keepNext/>
      <w:keepLines/>
      <w:spacing w:before="260" w:after="260"/>
      <w:jc w:val="left"/>
      <w:outlineLvl w:val="1"/>
    </w:pPr>
    <w:rPr>
      <w:rFonts w:ascii="楷体" w:hAnsi="楷体" w:eastAsia="黑体" w:cs="楷体"/>
      <w:b/>
      <w:bCs/>
      <w:sz w:val="28"/>
      <w:szCs w:val="28"/>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w:basedOn w:val="1"/>
    <w:semiHidden/>
    <w:unhideWhenUsed/>
    <w:qFormat/>
    <w:uiPriority w:val="99"/>
    <w:pPr>
      <w:spacing w:after="120"/>
    </w:pPr>
  </w:style>
  <w:style w:type="paragraph" w:styleId="5">
    <w:name w:val="annotation text"/>
    <w:basedOn w:val="1"/>
    <w:link w:val="19"/>
    <w:unhideWhenUsed/>
    <w:qFormat/>
    <w:uiPriority w:val="99"/>
    <w:pPr>
      <w:jc w:val="left"/>
    </w:pPr>
  </w:style>
  <w:style w:type="paragraph" w:styleId="6">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5"/>
    <w:next w:val="5"/>
    <w:link w:val="20"/>
    <w:semiHidden/>
    <w:unhideWhenUsed/>
    <w:qFormat/>
    <w:uiPriority w:val="99"/>
    <w:rPr>
      <w:b/>
      <w:bCs/>
    </w:rPr>
  </w:style>
  <w:style w:type="character" w:styleId="12">
    <w:name w:val="Strong"/>
    <w:qFormat/>
    <w:uiPriority w:val="22"/>
    <w:rPr>
      <w:b/>
      <w:bCs/>
    </w:rPr>
  </w:style>
  <w:style w:type="character" w:styleId="13">
    <w:name w:val="annotation reference"/>
    <w:basedOn w:val="11"/>
    <w:semiHidden/>
    <w:unhideWhenUsed/>
    <w:qFormat/>
    <w:uiPriority w:val="99"/>
    <w:rPr>
      <w:sz w:val="21"/>
      <w:szCs w:val="21"/>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paragraph" w:customStyle="1" w:styleId="16">
    <w:name w:val="WPSOffice手动目录 1"/>
    <w:qFormat/>
    <w:uiPriority w:val="0"/>
    <w:rPr>
      <w:rFonts w:asciiTheme="minorHAnsi" w:hAnsiTheme="minorHAnsi" w:eastAsiaTheme="minorEastAsia" w:cstheme="minorBidi"/>
      <w:lang w:val="en-US" w:eastAsia="zh-CN" w:bidi="ar-SA"/>
    </w:rPr>
  </w:style>
  <w:style w:type="paragraph" w:customStyle="1" w:styleId="17">
    <w:name w:val="WPSOffice手动目录 2"/>
    <w:qFormat/>
    <w:uiPriority w:val="0"/>
    <w:pPr>
      <w:ind w:left="200" w:leftChars="200"/>
    </w:pPr>
    <w:rPr>
      <w:rFonts w:asciiTheme="minorHAnsi" w:hAnsiTheme="minorHAnsi" w:eastAsiaTheme="minorEastAsia" w:cstheme="minorBidi"/>
      <w:lang w:val="en-US" w:eastAsia="zh-CN" w:bidi="ar-SA"/>
    </w:rPr>
  </w:style>
  <w:style w:type="paragraph" w:styleId="18">
    <w:name w:val="List Paragraph"/>
    <w:basedOn w:val="1"/>
    <w:qFormat/>
    <w:uiPriority w:val="99"/>
    <w:pPr>
      <w:ind w:firstLine="420" w:firstLineChars="200"/>
    </w:pPr>
  </w:style>
  <w:style w:type="character" w:customStyle="1" w:styleId="19">
    <w:name w:val="批注文字 字符"/>
    <w:basedOn w:val="11"/>
    <w:link w:val="5"/>
    <w:qFormat/>
    <w:uiPriority w:val="99"/>
    <w:rPr>
      <w:rFonts w:ascii="Calibri" w:hAnsi="Calibri" w:eastAsia="宋体" w:cs="Times New Roman"/>
      <w:kern w:val="2"/>
      <w:sz w:val="21"/>
      <w:szCs w:val="22"/>
    </w:rPr>
  </w:style>
  <w:style w:type="character" w:customStyle="1" w:styleId="20">
    <w:name w:val="批注主题 字符"/>
    <w:basedOn w:val="19"/>
    <w:link w:val="9"/>
    <w:semiHidden/>
    <w:uiPriority w:val="99"/>
    <w:rPr>
      <w:rFonts w:ascii="Calibri" w:hAnsi="Calibri" w:eastAsia="宋体" w:cs="Times New Roman"/>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15900</Words>
  <Characters>16842</Characters>
  <Lines>132</Lines>
  <Paragraphs>37</Paragraphs>
  <TotalTime>766</TotalTime>
  <ScaleCrop>false</ScaleCrop>
  <LinksUpToDate>false</LinksUpToDate>
  <CharactersWithSpaces>17057</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2023-01-30T01:12:00Z</dcterms:created>
  <dc:creator>Dell</dc:creator>
  <cp:lastModifiedBy>123</cp:lastModifiedBy>
  <dcterms:modified xsi:type="dcterms:W3CDTF">2023-03-21T04:01:29Z</dcterms:modified>
  <cp:revision>296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4E34A46509315261EB5A8F63AE4BF788</vt:lpwstr>
  </property>
</Properties>
</file>